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0" w:beforeAutospacing="0" w:after="150" w:afterAutospacing="0" w:line="560" w:lineRule="exact"/>
        <w:ind w:right="147" w:rightChars="0"/>
        <w:jc w:val="both"/>
        <w:textAlignment w:val="auto"/>
        <w:rPr>
          <w:rFonts w:hint="default" w:asciiTheme="minorEastAsia" w:hAnsiTheme="minorEastAsia" w:cstheme="minorEastAsia"/>
          <w:spacing w:val="15"/>
          <w:sz w:val="30"/>
          <w:szCs w:val="30"/>
          <w:shd w:val="clear" w:color="auto" w:fill="FFFFFF"/>
          <w:lang w:val="en-US" w:eastAsia="zh-CN"/>
        </w:rPr>
      </w:pPr>
      <w:r>
        <w:rPr>
          <w:rFonts w:hint="eastAsia" w:asciiTheme="minorEastAsia" w:hAnsiTheme="minorEastAsia" w:cstheme="minorEastAsia"/>
          <w:spacing w:val="15"/>
          <w:sz w:val="30"/>
          <w:szCs w:val="30"/>
          <w:shd w:val="clear" w:color="auto" w:fill="FFFFFF"/>
          <w:lang w:val="en-US" w:eastAsia="zh-CN"/>
        </w:rPr>
        <w:t>附件3：</w:t>
      </w:r>
    </w:p>
    <w:p>
      <w:pPr>
        <w:pStyle w:val="2"/>
        <w:widowControl/>
        <w:shd w:val="clear" w:color="auto" w:fill="FFFFFF"/>
        <w:spacing w:beforeAutospacing="0" w:afterAutospacing="0"/>
        <w:jc w:val="center"/>
        <w:rPr>
          <w:rFonts w:hint="eastAsia" w:ascii="Times New Roman" w:hAnsi="Times New Roman" w:eastAsia="方正小标宋_GBK"/>
          <w:b w:val="0"/>
          <w:bCs/>
          <w:sz w:val="44"/>
          <w:szCs w:val="44"/>
          <w:lang w:eastAsia="zh-CN"/>
        </w:rPr>
      </w:pPr>
      <w:r>
        <w:rPr>
          <w:rFonts w:hint="eastAsia" w:ascii="Times New Roman" w:hAnsi="Times New Roman" w:eastAsia="方正小标宋_GBK"/>
          <w:b w:val="0"/>
          <w:bCs/>
          <w:sz w:val="44"/>
          <w:szCs w:val="44"/>
          <w:lang w:eastAsia="zh-CN"/>
        </w:rPr>
        <w:t>八桂人工智能科学技术奖励实施细则</w:t>
      </w:r>
    </w:p>
    <w:p>
      <w:pPr>
        <w:pStyle w:val="2"/>
        <w:widowControl/>
        <w:shd w:val="clear" w:color="auto" w:fill="FFFFFF"/>
        <w:spacing w:beforeAutospacing="0" w:afterAutospacing="0"/>
        <w:jc w:val="center"/>
        <w:rPr>
          <w:rFonts w:hint="eastAsia" w:ascii="Times New Roman" w:hAnsi="Times New Roman" w:eastAsia="方正小标宋_GBK"/>
          <w:b w:val="0"/>
          <w:bCs/>
          <w:sz w:val="44"/>
          <w:szCs w:val="44"/>
          <w:lang w:eastAsia="zh-CN"/>
        </w:rPr>
      </w:pPr>
      <w:r>
        <w:rPr>
          <w:rFonts w:hint="eastAsia" w:ascii="Times New Roman" w:hAnsi="Times New Roman" w:eastAsia="方正小标宋_GBK"/>
          <w:b w:val="0"/>
          <w:bCs/>
          <w:sz w:val="44"/>
          <w:szCs w:val="44"/>
          <w:lang w:eastAsia="zh-CN"/>
        </w:rPr>
        <w:t>（试行）</w:t>
      </w:r>
    </w:p>
    <w:p>
      <w:pPr>
        <w:jc w:val="center"/>
        <w:rPr>
          <w:rFonts w:hint="eastAsia" w:asciiTheme="minorEastAsia" w:hAnsiTheme="minorEastAsia" w:eastAsiaTheme="minorEastAsia" w:cstheme="minorEastAsia"/>
          <w:bCs/>
          <w:kern w:val="44"/>
          <w:sz w:val="30"/>
          <w:szCs w:val="30"/>
        </w:rPr>
      </w:pP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总  则</w:t>
      </w:r>
      <w:bookmarkStart w:id="0" w:name="_GoBack"/>
      <w:bookmarkEnd w:id="0"/>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为做好</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励工作，保证</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的评审质量，提升</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的品牌和知名度，根据《国家科学技术奖励条例实施细则》、《广西科学技术奖励办法实施细则》、《</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励条例》（以下简称奖励条例）等相关规定，特制定本实施细则。</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本细则适用于</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八桂人工智能自然科学奖</w:t>
      </w:r>
      <w:r>
        <w:rPr>
          <w:rStyle w:val="6"/>
          <w:rFonts w:hint="eastAsia" w:asciiTheme="minorEastAsia" w:hAnsiTheme="minorEastAsia" w:eastAsiaTheme="minorEastAsia" w:cstheme="minorEastAsia"/>
          <w:b w:val="0"/>
          <w:bCs/>
          <w:spacing w:val="15"/>
          <w:sz w:val="30"/>
          <w:szCs w:val="30"/>
          <w:shd w:val="clear" w:color="auto" w:fill="FFFFFF"/>
        </w:rPr>
        <w:t>、</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八桂人工智能技术发明奖</w:t>
      </w:r>
      <w:r>
        <w:rPr>
          <w:rStyle w:val="6"/>
          <w:rFonts w:hint="eastAsia" w:asciiTheme="minorEastAsia" w:hAnsiTheme="minorEastAsia" w:eastAsiaTheme="minorEastAsia" w:cstheme="minorEastAsia"/>
          <w:b w:val="0"/>
          <w:bCs/>
          <w:spacing w:val="15"/>
          <w:sz w:val="30"/>
          <w:szCs w:val="30"/>
          <w:shd w:val="clear" w:color="auto" w:fill="FFFFFF"/>
        </w:rPr>
        <w:t>、</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八桂人工智能科技进步奖</w:t>
      </w:r>
      <w:r>
        <w:rPr>
          <w:rStyle w:val="6"/>
          <w:rFonts w:hint="eastAsia" w:asciiTheme="minorEastAsia" w:hAnsiTheme="minorEastAsia" w:eastAsiaTheme="minorEastAsia" w:cstheme="minorEastAsia"/>
          <w:b w:val="0"/>
          <w:bCs/>
          <w:spacing w:val="15"/>
          <w:sz w:val="30"/>
          <w:szCs w:val="30"/>
          <w:shd w:val="clear" w:color="auto" w:fill="FFFFFF"/>
        </w:rPr>
        <w:t>和</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八桂人工智能优秀科技工作者奖</w:t>
      </w:r>
      <w:r>
        <w:rPr>
          <w:rStyle w:val="6"/>
          <w:rFonts w:hint="eastAsia" w:asciiTheme="minorEastAsia" w:hAnsiTheme="minorEastAsia" w:eastAsiaTheme="minorEastAsia" w:cstheme="minorEastAsia"/>
          <w:b w:val="0"/>
          <w:bCs/>
          <w:spacing w:val="15"/>
          <w:sz w:val="30"/>
          <w:szCs w:val="30"/>
          <w:shd w:val="clear" w:color="auto" w:fill="FFFFFF"/>
        </w:rPr>
        <w:t>的推荐、评审、授奖等各项活动。</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励工作深入贯彻落实科学发展观和“尊重劳动、尊重知识、尊重人才、尊重创造”的方针，</w:t>
      </w:r>
      <w:r>
        <w:rPr>
          <w:rFonts w:hint="eastAsia" w:asciiTheme="minorEastAsia" w:hAnsiTheme="minorEastAsia" w:eastAsiaTheme="minorEastAsia" w:cstheme="minorEastAsia"/>
          <w:sz w:val="30"/>
          <w:szCs w:val="30"/>
        </w:rPr>
        <w:t>鼓励产学研合作、自主创新、联合攻关，促进科学研究、技术开发与经济社会发展紧密结合，促进科学研究、技术创新，加快科技成果向现实生产力转化，</w:t>
      </w:r>
      <w:r>
        <w:rPr>
          <w:rFonts w:hint="eastAsia" w:asciiTheme="minorEastAsia" w:hAnsiTheme="minorEastAsia" w:eastAsiaTheme="minorEastAsia" w:cstheme="minorEastAsia"/>
          <w:spacing w:val="15"/>
          <w:sz w:val="30"/>
          <w:szCs w:val="30"/>
          <w:shd w:val="clear" w:color="auto" w:fill="FFFFFF"/>
        </w:rPr>
        <w:t>加快落实国家《新一代人工智能发展规划》，发挥人工智能技术在和行业领域的赋能作用，大力提升我区智能科学技术与产业化应用发展水平，加速创新驱动发展战略和科教兴桂战略及人才强桂战略的实施，促进广西经济转型升级和社会进步。</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广西人工智能学会（以下简称学会）从全国范围组织邀请相关领域具有高尚道德情操、精深学术造诣、热心科技奖励事业的专家组成</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励工作委员会（以下简称奖励工作委员会），负责</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评审的组织工作。奖励工作委员会委员人选由学会理事长提名，经学会常务理事会审议通过，委员采取任期制，每届任期3年。奖励工作委员会聘请有关方面的专家、学者等组成</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励评审委员会（以下简称评审委员会）和</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励监督委员会（以下简称监督委员会），负责“</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”的评审和监督工作。</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的推荐、评审和授予，坚持公平、公正、公开的原则，维护</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的严肃性和荣誉性，不断提升智能科学技术奖励的权威度和影响力。</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管理机构与奖励资金</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按照国家相关主管部门工作考核及评价要求，学会设立日常管理办事机构</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办公室（以下简称奖励办公室），奖励办公室接受广西科学技术奖励工作办公室业务指导和学会、奖励工作委员会管理，负责</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的相关规则制定和评审活动的组织、服务与管理工作。</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遵循精神奖励与物质奖励相结合的原则，以精神奖励为主，物质奖励为辅，授奖奖金主要由社会组织、企业或个人捐资、赞助。</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授予在智能科学技术领域基础研究、</w:t>
      </w:r>
      <w:r>
        <w:rPr>
          <w:rStyle w:val="6"/>
          <w:rFonts w:hint="eastAsia" w:asciiTheme="minorEastAsia" w:hAnsiTheme="minorEastAsia" w:eastAsiaTheme="minorEastAsia" w:cstheme="minorEastAsia"/>
          <w:b w:val="0"/>
          <w:bCs/>
          <w:spacing w:val="15"/>
          <w:sz w:val="30"/>
          <w:szCs w:val="30"/>
        </w:rPr>
        <w:t>技术创新、科技成果转化和推广应用及科学技术普及等方面做出突出贡献的单位及个人。授奖项目的单位和个人按照贡献排序。按照主要完成人员的资格条件，部分顺序的完成人员可以空缺。</w:t>
      </w:r>
    </w:p>
    <w:p>
      <w:pPr>
        <w:pStyle w:val="3"/>
        <w:widowControl/>
        <w:shd w:val="clear" w:color="auto" w:fill="FFFFFF"/>
        <w:spacing w:beforeAutospacing="0" w:after="15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在科学研究、技术开发项目中仅从事组织管理和辅助服务的工作人员，不得作为</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的成果完成人。</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奖励办公室负责</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日常管理与服务工作，包括：</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负责组织开展</w:t>
      </w: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的推荐工作，并对推荐材料进行登记和形式审查；</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从学会专家智库遴选推荐评委专家，报奖励工作委员会审定确认；</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组织函评、</w:t>
      </w:r>
      <w:r>
        <w:rPr>
          <w:rFonts w:hint="eastAsia" w:asciiTheme="minorEastAsia" w:hAnsiTheme="minorEastAsia" w:cstheme="minorEastAsia"/>
          <w:spacing w:val="15"/>
          <w:sz w:val="30"/>
          <w:szCs w:val="30"/>
          <w:shd w:val="clear" w:color="auto" w:fill="FFFFFF"/>
          <w:lang w:eastAsia="zh-CN"/>
        </w:rPr>
        <w:t>评审委员会终评</w:t>
      </w:r>
      <w:r>
        <w:rPr>
          <w:rFonts w:hint="eastAsia" w:asciiTheme="minorEastAsia" w:hAnsiTheme="minorEastAsia" w:eastAsiaTheme="minorEastAsia" w:cstheme="minorEastAsia"/>
          <w:spacing w:val="15"/>
          <w:sz w:val="30"/>
          <w:szCs w:val="30"/>
          <w:shd w:val="clear" w:color="auto" w:fill="FFFFFF"/>
        </w:rPr>
        <w:t>等评审会议；</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收集对评奖的异议及处理意见等；</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负责对设奖资金进行募集，每年向捐资者和广西人工智能学会报告设奖资金收支情况，接受审计；</w:t>
      </w:r>
    </w:p>
    <w:p>
      <w:pPr>
        <w:pStyle w:val="3"/>
        <w:widowControl/>
        <w:numPr>
          <w:ilvl w:val="0"/>
          <w:numId w:val="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开展与推荐申报有关的科技成果评价工作，及学会交办的其他评奖相关事宜；</w:t>
      </w:r>
    </w:p>
    <w:p>
      <w:pPr>
        <w:pStyle w:val="3"/>
        <w:widowControl/>
        <w:numPr>
          <w:ilvl w:val="0"/>
          <w:numId w:val="3"/>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组织开展颁奖大会系列活动。</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奖励办公室运营经费包括：颁奖活动费、新闻宣传费，以及组织开展推荐、评审等工作的所有费用。</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奖励办公室负责对设奖资金进行募集，交由学会实行专项奖金管理，每年向捐资者和奖励工作委员会报告设奖资金收支情况，接受审计。</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的各项管理工作和设奖资金运用，需遵守中国有关法律。</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奖项设置和奖励范围</w:t>
      </w:r>
    </w:p>
    <w:p>
      <w:pPr>
        <w:pStyle w:val="8"/>
        <w:numPr>
          <w:ilvl w:val="0"/>
          <w:numId w:val="4"/>
        </w:numPr>
        <w:spacing w:before="156" w:beforeLines="50" w:after="156" w:afterLines="50" w:line="560" w:lineRule="exact"/>
        <w:ind w:left="0" w:firstLine="0" w:firstLineChars="0"/>
        <w:jc w:val="center"/>
        <w:outlineLvl w:val="2"/>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lang w:eastAsia="zh-CN"/>
        </w:rPr>
        <w:t>八桂人工智能自然科学奖</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奖励条例第十一条第（一）所称“前人尚未发现或者尚未阐明”，是指该项自然科学发现为国内外首次提出，或者其科学理论在国内外首次阐明，且主要论著为国内外首次发表出版。</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奖励条例第十一条第（二）项所称“具有重大科学价值”，是指该发现在科学理论、学说上有创见，或者在研究方法、手段上有创新；对于推动学科发展有重大意义，或者对于经济建设和社会发展具有重要影响。</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一条第（三）项所称“得到国内外自然科学界公认”，是指主要论著已在国内外公开发行的学术刊物上发表或者作为学术专著出版2年以上，其重要科学结论已为国内外同行在重要国际学术会议、公开发行的学术刊物，尤其是重要学术刊物以及学术专著所正面评价、正面引用或者应用。</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自然科学奖候选项目的主要完成人员，应当是相关科学技术论著的主要作者，且前3位主要完成人员必须是项目前5篇代表性论著之一的通讯作者或者前3名作者，并具备下列条件之一：</w:t>
      </w:r>
    </w:p>
    <w:p>
      <w:pPr>
        <w:pStyle w:val="3"/>
        <w:widowControl/>
        <w:numPr>
          <w:ilvl w:val="0"/>
          <w:numId w:val="5"/>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提出总体学术思想、研究方案；</w:t>
      </w:r>
    </w:p>
    <w:p>
      <w:pPr>
        <w:pStyle w:val="3"/>
        <w:widowControl/>
        <w:numPr>
          <w:ilvl w:val="0"/>
          <w:numId w:val="5"/>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发现重要科学现象、特性和规律，并阐明科学理论和学说；</w:t>
      </w:r>
    </w:p>
    <w:p>
      <w:pPr>
        <w:pStyle w:val="3"/>
        <w:widowControl/>
        <w:numPr>
          <w:ilvl w:val="0"/>
          <w:numId w:val="5"/>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提出研究方法和手段，解决关键性学术疑难问题或者实验技术难点，以及对重要基础数据的系统收集和综合分析等。</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 xml:space="preserve">自然科学奖候选项目的主要完成单位，应当是在基础研究和应用基础研究过程中提供技术、设备和人员等条件，对该项自然科学发现或者科学理论的提出起到组织、管理和协调作用的主要完成单位。 </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 xml:space="preserve">自然科学奖授奖等级，是根据候选项目所做出的科学发现进行综合评定，评审标准如下： </w:t>
      </w:r>
    </w:p>
    <w:p>
      <w:pPr>
        <w:pStyle w:val="3"/>
        <w:widowControl/>
        <w:numPr>
          <w:ilvl w:val="0"/>
          <w:numId w:val="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在科学上取得突破性进展，首次发现和阐明的自然现象、揭示的科学规律、提出的学术观点或者其研究方法为国内外自然科学界所公认和广泛引用，学术水平高，推动了本学科或者相关学科的发展，或者对经济建设、社会发展有重大影响的，可以评为一等奖。</w:t>
      </w:r>
    </w:p>
    <w:p>
      <w:pPr>
        <w:pStyle w:val="3"/>
        <w:widowControl/>
        <w:numPr>
          <w:ilvl w:val="0"/>
          <w:numId w:val="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在科学上取得重要进展，首次发现和阐明的自然现象、揭示的科学规律、提出的学术观点或者其研究方法为国内外自然科学界所公认和引用，学术水平较高，推动了本学科或者其分支学科的发展，或者对经济建设、社会发展有较大影响的，可以评为二等奖。</w:t>
      </w:r>
    </w:p>
    <w:p>
      <w:pPr>
        <w:pStyle w:val="3"/>
        <w:widowControl/>
        <w:numPr>
          <w:ilvl w:val="0"/>
          <w:numId w:val="6"/>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在科学上取得较大进展，发现和阐明的自然现象、揭示的科学规律、提出的学术观点或者其研究方法为国内外自然科学界所公认和引用，有一定学术水平，对本学科或者其分支学科的发展有一定推动作用，或者对经济建设、社会发展有一定影响的，可以评为三等奖。</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highlight w:val="none"/>
          <w:shd w:val="clear" w:color="auto" w:fill="FFFFFF"/>
        </w:rPr>
      </w:pPr>
      <w:r>
        <w:rPr>
          <w:rStyle w:val="6"/>
          <w:rFonts w:hint="eastAsia" w:asciiTheme="minorEastAsia" w:hAnsiTheme="minorEastAsia" w:eastAsiaTheme="minorEastAsia" w:cstheme="minorEastAsia"/>
          <w:b w:val="0"/>
          <w:bCs/>
          <w:spacing w:val="15"/>
          <w:sz w:val="30"/>
          <w:szCs w:val="30"/>
          <w:highlight w:val="none"/>
          <w:shd w:val="clear" w:color="auto" w:fill="FFFFFF"/>
        </w:rPr>
        <w:t>自然科学奖一等奖单项授奖人数不超过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6</w:t>
      </w:r>
      <w:r>
        <w:rPr>
          <w:rStyle w:val="6"/>
          <w:rFonts w:hint="eastAsia" w:asciiTheme="minorEastAsia" w:hAnsiTheme="minorEastAsia" w:eastAsiaTheme="minorEastAsia" w:cstheme="minorEastAsia"/>
          <w:b w:val="0"/>
          <w:bCs/>
          <w:spacing w:val="15"/>
          <w:sz w:val="30"/>
          <w:szCs w:val="30"/>
          <w:highlight w:val="none"/>
          <w:shd w:val="clear" w:color="auto" w:fill="FFFFFF"/>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10</w:t>
      </w:r>
      <w:r>
        <w:rPr>
          <w:rStyle w:val="6"/>
          <w:rFonts w:hint="eastAsia" w:asciiTheme="minorEastAsia" w:hAnsiTheme="minorEastAsia" w:eastAsiaTheme="minorEastAsia" w:cstheme="minorEastAsia"/>
          <w:b w:val="0"/>
          <w:bCs/>
          <w:spacing w:val="15"/>
          <w:sz w:val="30"/>
          <w:szCs w:val="30"/>
          <w:highlight w:val="none"/>
          <w:shd w:val="clear" w:color="auto" w:fill="FFFFFF"/>
        </w:rPr>
        <w:t>个；二等奖单项授奖人数不超过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5</w:t>
      </w:r>
      <w:r>
        <w:rPr>
          <w:rStyle w:val="6"/>
          <w:rFonts w:hint="eastAsia" w:asciiTheme="minorEastAsia" w:hAnsiTheme="minorEastAsia" w:eastAsiaTheme="minorEastAsia" w:cstheme="minorEastAsia"/>
          <w:b w:val="0"/>
          <w:bCs/>
          <w:spacing w:val="15"/>
          <w:sz w:val="30"/>
          <w:szCs w:val="30"/>
          <w:highlight w:val="none"/>
          <w:shd w:val="clear" w:color="auto" w:fill="FFFFFF"/>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8</w:t>
      </w:r>
      <w:r>
        <w:rPr>
          <w:rStyle w:val="6"/>
          <w:rFonts w:hint="eastAsia" w:asciiTheme="minorEastAsia" w:hAnsiTheme="minorEastAsia" w:eastAsiaTheme="minorEastAsia" w:cstheme="minorEastAsia"/>
          <w:b w:val="0"/>
          <w:bCs/>
          <w:spacing w:val="15"/>
          <w:sz w:val="30"/>
          <w:szCs w:val="30"/>
          <w:highlight w:val="none"/>
          <w:shd w:val="clear" w:color="auto" w:fill="FFFFFF"/>
        </w:rPr>
        <w:t>个；三等奖单项授奖人数不超过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4</w:t>
      </w:r>
      <w:r>
        <w:rPr>
          <w:rStyle w:val="6"/>
          <w:rFonts w:hint="eastAsia" w:asciiTheme="minorEastAsia" w:hAnsiTheme="minorEastAsia" w:eastAsiaTheme="minorEastAsia" w:cstheme="minorEastAsia"/>
          <w:b w:val="0"/>
          <w:bCs/>
          <w:spacing w:val="15"/>
          <w:sz w:val="30"/>
          <w:szCs w:val="30"/>
          <w:highlight w:val="none"/>
          <w:shd w:val="clear" w:color="auto" w:fill="FFFFFF"/>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7</w:t>
      </w:r>
      <w:r>
        <w:rPr>
          <w:rStyle w:val="6"/>
          <w:rFonts w:hint="eastAsia" w:asciiTheme="minorEastAsia" w:hAnsiTheme="minorEastAsia" w:eastAsiaTheme="minorEastAsia" w:cstheme="minorEastAsia"/>
          <w:b w:val="0"/>
          <w:bCs/>
          <w:spacing w:val="15"/>
          <w:sz w:val="30"/>
          <w:szCs w:val="30"/>
          <w:highlight w:val="none"/>
          <w:shd w:val="clear" w:color="auto" w:fill="FFFFFF"/>
        </w:rPr>
        <w:t>个。</w:t>
      </w:r>
    </w:p>
    <w:p>
      <w:pPr>
        <w:pStyle w:val="8"/>
        <w:numPr>
          <w:ilvl w:val="0"/>
          <w:numId w:val="4"/>
        </w:numPr>
        <w:spacing w:before="156" w:beforeLines="50" w:after="156" w:afterLines="50" w:line="560" w:lineRule="exact"/>
        <w:ind w:left="0" w:firstLine="0" w:firstLineChars="0"/>
        <w:jc w:val="center"/>
        <w:outlineLvl w:val="2"/>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lang w:eastAsia="zh-CN"/>
        </w:rPr>
        <w:t>八桂人工智能技术发明奖</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二条所称“产品”包括各种仪器、设备、器械、工具、零部件以及生物新品种等技术发明产品；“工艺”包括工业、农业、医疗卫生、国家安全和公共安全等领域的各种技术发明方法；“材料”包括用各种技术方法获得的新物质等技术发明材料；“系统”是指产品、工艺和材料的发明系统技术。</w:t>
      </w:r>
    </w:p>
    <w:p>
      <w:pPr>
        <w:pStyle w:val="3"/>
        <w:widowControl/>
        <w:shd w:val="clear" w:color="auto" w:fill="FFFFFF"/>
        <w:tabs>
          <w:tab w:val="left" w:pos="0"/>
        </w:tabs>
        <w:spacing w:beforeAutospacing="0" w:after="15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技术发明</w:t>
      </w:r>
      <w:r>
        <w:rPr>
          <w:rStyle w:val="6"/>
          <w:rFonts w:hint="eastAsia" w:asciiTheme="minorEastAsia" w:hAnsiTheme="minorEastAsia" w:eastAsiaTheme="minorEastAsia" w:cstheme="minorEastAsia"/>
          <w:b w:val="0"/>
          <w:bCs/>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的授奖范围，不包括仅依赖个人经验和技能、技巧又不可以重复实现的发明专利技术。</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奖励条例第十二条第（一）项所称“前人尚未发明”，是指该项技术发明为国内外首创，并获得发明专利授权。</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二条第（二）项所称“具有先进性和创造性”，是指该项技术发明与国内外已有同类技术相比较，其技术思路、技术原理或者技术方法有创新，技术上有实质性的特点和显著的进步，主要性能（性状）、技术经济指标、科学技术水平及其促进科学技术进步的作用和意义等方面综合优于同类技术。</w:t>
      </w:r>
    </w:p>
    <w:p>
      <w:pPr>
        <w:pStyle w:val="3"/>
        <w:widowControl/>
        <w:numPr>
          <w:ilvl w:val="2"/>
          <w:numId w:val="2"/>
        </w:numPr>
        <w:shd w:val="clear" w:color="auto" w:fill="FFFFFF"/>
        <w:tabs>
          <w:tab w:val="clear" w:pos="0"/>
        </w:tabs>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奖励条例第十二条第（三）项“核心技术”，须是获得国家发明专利授权，可以延伸至获得计算机软件著作权、</w:t>
      </w:r>
      <w:r>
        <w:rPr>
          <w:rStyle w:val="6"/>
          <w:rFonts w:hint="eastAsia" w:asciiTheme="minorEastAsia" w:hAnsiTheme="minorEastAsia" w:eastAsiaTheme="minorEastAsia" w:cstheme="minorEastAsia"/>
          <w:b w:val="0"/>
          <w:bCs w:val="0"/>
          <w:spacing w:val="15"/>
          <w:sz w:val="30"/>
          <w:szCs w:val="30"/>
          <w:shd w:val="clear" w:color="auto" w:fill="FFFFFF"/>
        </w:rPr>
        <w:t>集成电路</w:t>
      </w:r>
      <w:r>
        <w:rPr>
          <w:rStyle w:val="6"/>
          <w:rFonts w:hint="eastAsia" w:asciiTheme="minorEastAsia" w:hAnsiTheme="minorEastAsia" w:eastAsiaTheme="minorEastAsia" w:cstheme="minorEastAsia"/>
          <w:b w:val="0"/>
          <w:bCs/>
          <w:spacing w:val="15"/>
          <w:sz w:val="30"/>
          <w:szCs w:val="30"/>
          <w:shd w:val="clear" w:color="auto" w:fill="FFFFFF"/>
        </w:rPr>
        <w:t>布图设计权。核心技术的知识产权为广西个人、组织所拥有。</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奖励条例第十二条第（四）项所称“实施后创造显著经济效益或者社会效益”，是指该项技术发明成熟，并实施应用2年以上，取得良好的应用效果，经济效益、社会效益或者生态效益显著。</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技术发明</w:t>
      </w:r>
      <w:r>
        <w:rPr>
          <w:rStyle w:val="6"/>
          <w:rFonts w:hint="eastAsia" w:asciiTheme="minorEastAsia" w:hAnsiTheme="minorEastAsia" w:eastAsiaTheme="minorEastAsia" w:cstheme="minorEastAsia"/>
          <w:b w:val="0"/>
          <w:bCs/>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候选项目的主要完成人员，应当是该项目技术发明的全部或者部分创造性技术内容的主要完成人员。前3位主要完成人员必须是项目前3个核心发明专利的发明人之一，如果没有的，部分顺序的完成人员可以空缺。</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技术发明</w:t>
      </w:r>
      <w:r>
        <w:rPr>
          <w:rStyle w:val="6"/>
          <w:rFonts w:hint="eastAsia" w:asciiTheme="minorEastAsia" w:hAnsiTheme="minorEastAsia" w:eastAsiaTheme="minorEastAsia" w:cstheme="minorEastAsia"/>
          <w:b w:val="0"/>
          <w:bCs/>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候选项目的主要完成单位，应当是在该项技术发明研究过程中提供技术、设备和人员等条件，对该项技术发明的完成与转化起到组织、管理和协调作用的主要完成单位。</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技术发明</w:t>
      </w:r>
      <w:r>
        <w:rPr>
          <w:rStyle w:val="6"/>
          <w:rFonts w:hint="eastAsia" w:asciiTheme="minorEastAsia" w:hAnsiTheme="minorEastAsia" w:eastAsiaTheme="minorEastAsia" w:cstheme="minorEastAsia"/>
          <w:b w:val="0"/>
          <w:bCs/>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授奖等级，是根据候选项目所做出的技术发明进行综合评定，评审标准如下：</w:t>
      </w:r>
    </w:p>
    <w:p>
      <w:pPr>
        <w:pStyle w:val="3"/>
        <w:widowControl/>
        <w:numPr>
          <w:ilvl w:val="0"/>
          <w:numId w:val="7"/>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属国内外首创的重大技术发明，技术思路、原理和方法独特，技术上有重大创新，技术经济指标达到了同类技术的领先水平，实现转化和规模化生产及产业化应用，推动了相关领域或者本领域的技术进步，已产生了显著的经济效益、社会效益或者生态效益的，可以评为一等奖。</w:t>
      </w:r>
    </w:p>
    <w:p>
      <w:pPr>
        <w:pStyle w:val="3"/>
        <w:widowControl/>
        <w:numPr>
          <w:ilvl w:val="0"/>
          <w:numId w:val="7"/>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属国内外首创的重要技术发明，技术思路、原理和方法新颖，技术上有较大的创新，技术经济指标达到了同类技术的先进水平，实现转化和规模化生产，对本领域的技术进步有较大推动作用，并产生了明显的经济效益、社会效益或者生态效益的，可以评为二等奖。</w:t>
      </w:r>
    </w:p>
    <w:p>
      <w:pPr>
        <w:pStyle w:val="3"/>
        <w:widowControl/>
        <w:numPr>
          <w:ilvl w:val="0"/>
          <w:numId w:val="7"/>
        </w:numPr>
        <w:tabs>
          <w:tab w:val="left" w:pos="1418"/>
        </w:tabs>
        <w:spacing w:beforeAutospacing="0" w:after="15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 xml:space="preserve">属国内外首创的技术发明，技术思路、原理和方法新颖，技术上有一定创新，技术经济指标达到了同类技术的先进水平，实现转化应用，对本领域的技术进步有一定推动作用，并产生了较好的经济效益、社会效益或者生态效益的，可以评为三等奖。 </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highlight w:val="none"/>
          <w:shd w:val="clear" w:color="auto" w:fill="FFFFFF"/>
        </w:rPr>
      </w:pPr>
      <w:r>
        <w:rPr>
          <w:rStyle w:val="6"/>
          <w:rFonts w:hint="eastAsia" w:asciiTheme="minorEastAsia" w:hAnsiTheme="minorEastAsia" w:eastAsiaTheme="minorEastAsia" w:cstheme="minorEastAsia"/>
          <w:b w:val="0"/>
          <w:bCs/>
          <w:spacing w:val="15"/>
          <w:sz w:val="30"/>
          <w:szCs w:val="30"/>
          <w:highlight w:val="none"/>
          <w:shd w:val="clear" w:color="auto" w:fill="FFFFFF"/>
        </w:rPr>
        <w:t>技术发明</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奖一等奖单项授奖人数不超过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6</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10</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个；二等奖单项授奖人数不超过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5</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8</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个；三等奖单项授奖人数不超过</w:t>
      </w:r>
      <w:r>
        <w:rPr>
          <w:rStyle w:val="6"/>
          <w:rFonts w:hint="eastAsia" w:asciiTheme="minorEastAsia" w:hAnsiTheme="minorEastAsia" w:cstheme="minorEastAsia"/>
          <w:b w:val="0"/>
          <w:bCs/>
          <w:spacing w:val="15"/>
          <w:sz w:val="30"/>
          <w:szCs w:val="30"/>
          <w:highlight w:val="none"/>
          <w:shd w:val="clear" w:color="auto" w:fill="FFFFFF"/>
          <w:lang w:val="en-US" w:eastAsia="zh-CN"/>
        </w:rPr>
        <w:t>4</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人，授奖单位不超过</w:t>
      </w:r>
      <w:r>
        <w:rPr>
          <w:rStyle w:val="6"/>
          <w:rFonts w:hint="eastAsia" w:asciiTheme="minorEastAsia" w:hAnsiTheme="minorEastAsia" w:cstheme="minorEastAsia"/>
          <w:b w:val="0"/>
          <w:bCs/>
          <w:spacing w:val="15"/>
          <w:sz w:val="30"/>
          <w:szCs w:val="30"/>
          <w:highlight w:val="none"/>
          <w:shd w:val="clear" w:color="auto" w:fill="FFFFFF"/>
          <w:lang w:val="en-US" w:eastAsia="zh-CN"/>
        </w:rPr>
        <w:t>7</w:t>
      </w: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个。</w:t>
      </w:r>
    </w:p>
    <w:p>
      <w:pPr>
        <w:pStyle w:val="8"/>
        <w:numPr>
          <w:ilvl w:val="0"/>
          <w:numId w:val="4"/>
        </w:numPr>
        <w:spacing w:before="156" w:beforeLines="50" w:after="156" w:afterLines="50" w:line="560" w:lineRule="exact"/>
        <w:ind w:left="0" w:firstLine="0" w:firstLineChars="0"/>
        <w:jc w:val="center"/>
        <w:outlineLvl w:val="2"/>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lang w:eastAsia="zh-CN"/>
        </w:rPr>
        <w:t>八桂人工智能科技进步奖</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科技进步</w:t>
      </w:r>
      <w:r>
        <w:rPr>
          <w:rFonts w:hint="eastAsia" w:asciiTheme="minorEastAsia" w:hAnsiTheme="minorEastAsia" w:eastAsiaTheme="minorEastAsia" w:cstheme="minorEastAsia"/>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分为技术开发、推广应用、成果引进转化、社会公益、科学技术普及、品牌战略应用以及国际科技合作与交流项目，按各类别项目的评审标准进行评审。</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奖励条例第十三条第（一）项所称“技术开发类项目”，是指在实施技术开发活动中，完成具有产品、技术、工艺、材料、设计和生物品种等技术创新的项目。</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奖励条例第十三条第（二）项所称“推广应用类项目”，是指在实施推广应用科技成果活动中，完成广西自主创新成果的技术集成、推广模式与推广方法创新的推广应用项目。</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三条第（三）项所称“重大工程类项目”，是指在实施重大工程类项目中，完成从广西区外、国境外引进先进技术和科技成果在广西落地转化应用，实现技术交易；或者是完成对广西区外、国境外技术成果进行消化吸收再创新的项目。</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条例第十三条第（四）项所称“社会公益类项目”，是指在实施社会公益活动中，完成标准、计量、科技信息、科技档案、种质资源等基础性技术研发，以及国家安全、环境保护、安全生产、医疗卫生、自然资源调查与合理利用、自然灾害及动植物病害监测预报与防治等社会公益性技术研发的项目。</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科技进步</w:t>
      </w:r>
      <w:r>
        <w:rPr>
          <w:rFonts w:hint="eastAsia" w:asciiTheme="minorEastAsia" w:hAnsiTheme="minorEastAsia" w:eastAsiaTheme="minorEastAsia" w:cstheme="minorEastAsia"/>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候选项目的主要完成人员，应当具备下列条件之一：</w:t>
      </w:r>
    </w:p>
    <w:p>
      <w:pPr>
        <w:pStyle w:val="3"/>
        <w:widowControl/>
        <w:numPr>
          <w:ilvl w:val="0"/>
          <w:numId w:val="8"/>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在项目的总体技术设计中做出重要贡献；</w:t>
      </w:r>
    </w:p>
    <w:p>
      <w:pPr>
        <w:pStyle w:val="3"/>
        <w:widowControl/>
        <w:numPr>
          <w:ilvl w:val="0"/>
          <w:numId w:val="8"/>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在关键技术和疑难问题的解决中做出重大技术创新贡献；</w:t>
      </w:r>
    </w:p>
    <w:p>
      <w:pPr>
        <w:pStyle w:val="3"/>
        <w:widowControl/>
        <w:numPr>
          <w:ilvl w:val="0"/>
          <w:numId w:val="8"/>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在成果转化和推广应用过程中做出重要贡献；</w:t>
      </w:r>
    </w:p>
    <w:p>
      <w:pPr>
        <w:pStyle w:val="3"/>
        <w:widowControl/>
        <w:numPr>
          <w:ilvl w:val="0"/>
          <w:numId w:val="8"/>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在推动新技术产业化方面做出重要贡献；</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前3位主要完成人，必须是提供的专利证书、软件著作权证书、标准、科技计划项目验收证书和行业准入证明，以及通过具有法定资质资格单位组织的科技成果评价评审证书等科技成果证明中的前5位完成人员之一，如果没有的，部分顺序的完成人员可以空缺。</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科技进步</w:t>
      </w:r>
      <w:r>
        <w:rPr>
          <w:rFonts w:hint="eastAsia" w:asciiTheme="minorEastAsia" w:hAnsiTheme="minorEastAsia" w:eastAsiaTheme="minorEastAsia" w:cstheme="minorEastAsia"/>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候选项目的主要完成单位，应当是在项目研究、开发、转化应用和推广及科学技术普及过程中提供技术、设备和人员等条件，对项目的完成起到组织、管理和协调作用的主要完成单位。</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推荐</w:t>
      </w:r>
      <w:r>
        <w:rPr>
          <w:rFonts w:hint="eastAsia" w:asciiTheme="minorEastAsia" w:hAnsiTheme="minorEastAsia" w:eastAsiaTheme="minorEastAsia" w:cstheme="minorEastAsia"/>
          <w:spacing w:val="15"/>
          <w:sz w:val="30"/>
          <w:szCs w:val="30"/>
          <w:shd w:val="clear" w:color="auto" w:fill="FFFFFF"/>
        </w:rPr>
        <w:t>科技进步</w:t>
      </w:r>
      <w:r>
        <w:rPr>
          <w:rFonts w:hint="eastAsia" w:asciiTheme="minorEastAsia" w:hAnsiTheme="minorEastAsia" w:eastAsiaTheme="minorEastAsia" w:cstheme="minorEastAsia"/>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项目必须具有先进性、实用性、创新性，并且应用满2年以上，取得良好的应用效果，产生了较大的经济效益、社会效益或者生态效益。</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科技进步</w:t>
      </w:r>
      <w:r>
        <w:rPr>
          <w:rFonts w:hint="eastAsia" w:asciiTheme="minorEastAsia" w:hAnsiTheme="minorEastAsia" w:eastAsiaTheme="minorEastAsia" w:cstheme="minorEastAsia"/>
          <w:spacing w:val="15"/>
          <w:sz w:val="30"/>
          <w:szCs w:val="30"/>
          <w:shd w:val="clear" w:color="auto" w:fill="FFFFFF"/>
          <w:lang w:eastAsia="zh-CN"/>
        </w:rPr>
        <w:t>奖</w:t>
      </w:r>
      <w:r>
        <w:rPr>
          <w:rStyle w:val="6"/>
          <w:rFonts w:hint="eastAsia" w:asciiTheme="minorEastAsia" w:hAnsiTheme="minorEastAsia" w:eastAsiaTheme="minorEastAsia" w:cstheme="minorEastAsia"/>
          <w:b w:val="0"/>
          <w:bCs/>
          <w:spacing w:val="15"/>
          <w:sz w:val="30"/>
          <w:szCs w:val="30"/>
          <w:shd w:val="clear" w:color="auto" w:fill="FFFFFF"/>
        </w:rPr>
        <w:t>授奖等级，是根据候选项目所做出的技术创新进行综合评定，评审标准如下：</w:t>
      </w:r>
    </w:p>
    <w:p>
      <w:pPr>
        <w:pStyle w:val="3"/>
        <w:widowControl/>
        <w:numPr>
          <w:ilvl w:val="0"/>
          <w:numId w:val="9"/>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技术开发类项目：</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关键共性技术上有重大创新，技术难度大，总体技术水平和主要技术经济指标达到国际同类技术或者产品的先进水平，成果转化程度高，市场竞争力强，创造重大的经济效益、社会效益或者生态效益，对行业的科技进步和产业优化升级有重大作用的，可以评为一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关键共性技术上有较大创新，技术难度较大，总体技术水平和主要技术经济指标达到国内同类技术或者产品的先进水平，成果转化程度较高，市场竞争力强，创造较大的经济效益、社会效益或者生态效益，对行业的科技进步和产业优化升级有很大作用的，可以评为二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关键共性技术上有创新，有一定技术难度，总体技术水平和主要技术经济指标达到广西区内同类技术或者产品的领先水平，市场竞争力强，成果已转化并创造较好的经济效益、社会效益或者生态效益，对行业的技术进步和产业结构调整有较大作用的，可以评为三等奖。</w:t>
      </w:r>
    </w:p>
    <w:p>
      <w:pPr>
        <w:pStyle w:val="3"/>
        <w:widowControl/>
        <w:numPr>
          <w:ilvl w:val="0"/>
          <w:numId w:val="9"/>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推广应用类项目：</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共性技术或者集成推广应用有重大创新，具有很强的示范带动作用，具有很大的覆盖面，对提高行业整体技术水平有重大作用，处于国内同类技术先进水平，取得重大的经济效益、社会效益或者生态效益的，可以评为一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共性技术或者集成推广应用有较大创新，具有较强的示范带动作用，具有较大的覆盖面，对提高行业整体技术水平有较大作用，处于广西区内同类技术领先水平，取得较大的经济效益、社会效益或者生态效益，可以评为二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共性技术或者集成推广应用有创新，具有示范带动作用，具有一定的覆盖面，对提高行业整体技术水平有促进作用，处于广西区内同类技术先进水平，取得较好的经济效益、社会效益或者生态效益的，可以评为三等奖。</w:t>
      </w:r>
    </w:p>
    <w:p>
      <w:pPr>
        <w:pStyle w:val="3"/>
        <w:widowControl/>
        <w:numPr>
          <w:ilvl w:val="0"/>
          <w:numId w:val="9"/>
        </w:numPr>
        <w:tabs>
          <w:tab w:val="left" w:pos="1418"/>
        </w:tabs>
        <w:spacing w:beforeAutospacing="0" w:afterAutospacing="0" w:line="560" w:lineRule="exact"/>
        <w:ind w:left="0" w:right="147" w:firstLine="420"/>
        <w:jc w:val="both"/>
        <w:rPr>
          <w:rStyle w:val="6"/>
          <w:rFonts w:hint="eastAsia" w:asciiTheme="minorEastAsia" w:hAnsiTheme="minorEastAsia" w:eastAsiaTheme="minorEastAsia" w:cstheme="minorEastAsia"/>
          <w:b w:val="0"/>
          <w:bCs/>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重大工程</w:t>
      </w:r>
      <w:r>
        <w:rPr>
          <w:rStyle w:val="6"/>
          <w:rFonts w:hint="eastAsia" w:asciiTheme="minorEastAsia" w:hAnsiTheme="minorEastAsia" w:eastAsiaTheme="minorEastAsia" w:cstheme="minorEastAsia"/>
          <w:b w:val="0"/>
          <w:bCs/>
          <w:spacing w:val="15"/>
          <w:sz w:val="30"/>
          <w:szCs w:val="30"/>
          <w:shd w:val="clear" w:color="auto" w:fill="FFFFFF"/>
        </w:rPr>
        <w:t>类项目：</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引进的技术成果达到国内领先水平，实施转化的难度大，核心技术的知识产权为广西的组织所拥有或者可以合法使用，对技术成果进行消化吸收后，在技术、转化机制、方法、措施上有重大创新，对广西的行业技术进步和产业优化升级有重大推动作用，取得重大经济效益、社会效益或者生态效益的，可以评为一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引进的技术成果达到国内先进水平，实施转化的难度较大，核心技术的知识产权为广西的组织所拥有或者可以合法使用，对技术成果进行消化吸收后，在技术、转化机制、方法、措施上有较大创新，对广西的行业技术进步和产业优化升级有较大推动作用，取得较大的经济效益、社会效益或者生态效益的，可以评为二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引进的技术成果达到广西区内领先水平，实施转化有一定难度，核心技术的知识产权为广西的组织所拥有或者可以合法使用，对技术成果进行消化吸收后，在技术、转化机制、方法、措施上有一定创新，对广西的行业技术进步和产业优化升级有推动作用，取得较好的经济效益、社会效益或者生态效益的，可以评为三等奖。</w:t>
      </w:r>
    </w:p>
    <w:p>
      <w:pPr>
        <w:pStyle w:val="3"/>
        <w:widowControl/>
        <w:numPr>
          <w:ilvl w:val="0"/>
          <w:numId w:val="9"/>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社会公益类项目：</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社会公益方面的关键共性技术上有重大创新，技术难度大，总体技术水平和主要技术经济指标达到国际同类技术或者产品的先进水平，并在行业得到广泛应用，取得重大的社会效益或者生态效益，对科技事业发展和社会进步有重大意义的，可以评为一等奖。</w:t>
      </w:r>
    </w:p>
    <w:p>
      <w:pPr>
        <w:pStyle w:val="3"/>
        <w:widowControl/>
        <w:tabs>
          <w:tab w:val="left" w:pos="1418"/>
        </w:tabs>
        <w:spacing w:beforeAutospacing="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社会公益方面的关键共性技术上有较大创新，技术难度较大，总体技术水平和主要技术经济指标达到国内同类技术或者产品的先进水平，并在行业较大范围应用，取得较大的社会效益或者生态效益，对科技事业发展和社会进步有较大意义的，可以评为二等奖。</w:t>
      </w:r>
    </w:p>
    <w:p>
      <w:pPr>
        <w:pStyle w:val="3"/>
        <w:widowControl/>
        <w:tabs>
          <w:tab w:val="left" w:pos="1418"/>
        </w:tabs>
        <w:spacing w:beforeAutospacing="0" w:after="150" w:afterAutospacing="0" w:line="560" w:lineRule="exact"/>
        <w:ind w:right="147" w:firstLine="660" w:firstLineChars="200"/>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在社会公益方面的关键共性技术上有创新，有一定技术难度，总体技术水平和主要技术经济指标达到广西区内同类技术或者产品的领先水平，并在行业一定范围应用，取得较好的社会效益或者生态效益，对科技事业发展和社会进步有一定意义的，可以评为三等奖。</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highlight w:val="none"/>
          <w:shd w:val="clear" w:color="auto" w:fill="FFFFFF"/>
        </w:rPr>
      </w:pPr>
      <w:r>
        <w:rPr>
          <w:rFonts w:hint="eastAsia" w:asciiTheme="minorEastAsia" w:hAnsiTheme="minorEastAsia" w:eastAsiaTheme="minorEastAsia" w:cstheme="minorEastAsia"/>
          <w:spacing w:val="15"/>
          <w:sz w:val="30"/>
          <w:szCs w:val="30"/>
          <w:highlight w:val="none"/>
          <w:shd w:val="clear" w:color="auto" w:fill="FFFFFF"/>
        </w:rPr>
        <w:t>科技进步</w:t>
      </w:r>
      <w:r>
        <w:rPr>
          <w:rFonts w:hint="eastAsia" w:asciiTheme="minorEastAsia" w:hAnsiTheme="minorEastAsia" w:eastAsiaTheme="minorEastAsia" w:cstheme="minorEastAsia"/>
          <w:spacing w:val="15"/>
          <w:sz w:val="30"/>
          <w:szCs w:val="30"/>
          <w:highlight w:val="none"/>
          <w:shd w:val="clear" w:color="auto" w:fill="FFFFFF"/>
          <w:lang w:eastAsia="zh-CN"/>
        </w:rPr>
        <w:t>奖一等奖单项授奖人数不超过</w:t>
      </w:r>
      <w:r>
        <w:rPr>
          <w:rFonts w:hint="eastAsia" w:asciiTheme="minorEastAsia" w:hAnsiTheme="minorEastAsia" w:cstheme="minorEastAsia"/>
          <w:spacing w:val="15"/>
          <w:sz w:val="30"/>
          <w:szCs w:val="30"/>
          <w:highlight w:val="none"/>
          <w:shd w:val="clear" w:color="auto" w:fill="FFFFFF"/>
          <w:lang w:val="en-US" w:eastAsia="zh-CN"/>
        </w:rPr>
        <w:t>10</w:t>
      </w:r>
      <w:r>
        <w:rPr>
          <w:rFonts w:hint="eastAsia" w:asciiTheme="minorEastAsia" w:hAnsiTheme="minorEastAsia" w:eastAsiaTheme="minorEastAsia" w:cstheme="minorEastAsia"/>
          <w:spacing w:val="15"/>
          <w:sz w:val="30"/>
          <w:szCs w:val="30"/>
          <w:highlight w:val="none"/>
          <w:shd w:val="clear" w:color="auto" w:fill="FFFFFF"/>
          <w:lang w:eastAsia="zh-CN"/>
        </w:rPr>
        <w:t>人，授奖单位不超过</w:t>
      </w:r>
      <w:r>
        <w:rPr>
          <w:rFonts w:hint="eastAsia" w:asciiTheme="minorEastAsia" w:hAnsiTheme="minorEastAsia" w:cstheme="minorEastAsia"/>
          <w:spacing w:val="15"/>
          <w:sz w:val="30"/>
          <w:szCs w:val="30"/>
          <w:highlight w:val="none"/>
          <w:shd w:val="clear" w:color="auto" w:fill="FFFFFF"/>
          <w:lang w:val="en-US" w:eastAsia="zh-CN"/>
        </w:rPr>
        <w:t>15</w:t>
      </w:r>
      <w:r>
        <w:rPr>
          <w:rFonts w:hint="eastAsia" w:asciiTheme="minorEastAsia" w:hAnsiTheme="minorEastAsia" w:eastAsiaTheme="minorEastAsia" w:cstheme="minorEastAsia"/>
          <w:spacing w:val="15"/>
          <w:sz w:val="30"/>
          <w:szCs w:val="30"/>
          <w:highlight w:val="none"/>
          <w:shd w:val="clear" w:color="auto" w:fill="FFFFFF"/>
          <w:lang w:eastAsia="zh-CN"/>
        </w:rPr>
        <w:t>个；二等奖单项授奖人数不超过</w:t>
      </w:r>
      <w:r>
        <w:rPr>
          <w:rFonts w:hint="eastAsia" w:asciiTheme="minorEastAsia" w:hAnsiTheme="minorEastAsia" w:cstheme="minorEastAsia"/>
          <w:spacing w:val="15"/>
          <w:sz w:val="30"/>
          <w:szCs w:val="30"/>
          <w:highlight w:val="none"/>
          <w:shd w:val="clear" w:color="auto" w:fill="FFFFFF"/>
          <w:lang w:val="en-US" w:eastAsia="zh-CN"/>
        </w:rPr>
        <w:t>7</w:t>
      </w:r>
      <w:r>
        <w:rPr>
          <w:rFonts w:hint="eastAsia" w:asciiTheme="minorEastAsia" w:hAnsiTheme="minorEastAsia" w:eastAsiaTheme="minorEastAsia" w:cstheme="minorEastAsia"/>
          <w:spacing w:val="15"/>
          <w:sz w:val="30"/>
          <w:szCs w:val="30"/>
          <w:highlight w:val="none"/>
          <w:shd w:val="clear" w:color="auto" w:fill="FFFFFF"/>
          <w:lang w:eastAsia="zh-CN"/>
        </w:rPr>
        <w:t>人，授奖单位不超过</w:t>
      </w:r>
      <w:r>
        <w:rPr>
          <w:rFonts w:hint="eastAsia" w:asciiTheme="minorEastAsia" w:hAnsiTheme="minorEastAsia" w:cstheme="minorEastAsia"/>
          <w:spacing w:val="15"/>
          <w:sz w:val="30"/>
          <w:szCs w:val="30"/>
          <w:highlight w:val="none"/>
          <w:shd w:val="clear" w:color="auto" w:fill="FFFFFF"/>
          <w:lang w:val="en-US" w:eastAsia="zh-CN"/>
        </w:rPr>
        <w:t>10</w:t>
      </w:r>
      <w:r>
        <w:rPr>
          <w:rFonts w:hint="eastAsia" w:asciiTheme="minorEastAsia" w:hAnsiTheme="minorEastAsia" w:eastAsiaTheme="minorEastAsia" w:cstheme="minorEastAsia"/>
          <w:spacing w:val="15"/>
          <w:sz w:val="30"/>
          <w:szCs w:val="30"/>
          <w:highlight w:val="none"/>
          <w:shd w:val="clear" w:color="auto" w:fill="FFFFFF"/>
          <w:lang w:eastAsia="zh-CN"/>
        </w:rPr>
        <w:t>个；三等奖单项授奖人数不超过5人，授奖单位不超过</w:t>
      </w:r>
      <w:r>
        <w:rPr>
          <w:rFonts w:hint="eastAsia" w:asciiTheme="minorEastAsia" w:hAnsiTheme="minorEastAsia" w:cstheme="minorEastAsia"/>
          <w:spacing w:val="15"/>
          <w:sz w:val="30"/>
          <w:szCs w:val="30"/>
          <w:highlight w:val="none"/>
          <w:shd w:val="clear" w:color="auto" w:fill="FFFFFF"/>
          <w:lang w:val="en-US" w:eastAsia="zh-CN"/>
        </w:rPr>
        <w:t>7</w:t>
      </w:r>
      <w:r>
        <w:rPr>
          <w:rFonts w:hint="eastAsia" w:asciiTheme="minorEastAsia" w:hAnsiTheme="minorEastAsia" w:eastAsiaTheme="minorEastAsia" w:cstheme="minorEastAsia"/>
          <w:spacing w:val="15"/>
          <w:sz w:val="30"/>
          <w:szCs w:val="30"/>
          <w:highlight w:val="none"/>
          <w:shd w:val="clear" w:color="auto" w:fill="FFFFFF"/>
          <w:lang w:eastAsia="zh-CN"/>
        </w:rPr>
        <w:t>个。</w:t>
      </w:r>
    </w:p>
    <w:p>
      <w:pPr>
        <w:pStyle w:val="8"/>
        <w:numPr>
          <w:ilvl w:val="0"/>
          <w:numId w:val="4"/>
        </w:numPr>
        <w:spacing w:before="156" w:beforeLines="50" w:after="156" w:afterLines="50" w:line="560" w:lineRule="exact"/>
        <w:ind w:left="0" w:firstLine="0" w:firstLineChars="0"/>
        <w:jc w:val="center"/>
        <w:outlineLvl w:val="2"/>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lang w:eastAsia="zh-CN"/>
        </w:rPr>
        <w:t>八桂人工智能优秀科技工作者奖</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八桂人工智能优秀科技工作者奖</w:t>
      </w:r>
      <w:r>
        <w:rPr>
          <w:rFonts w:hint="eastAsia" w:asciiTheme="minorEastAsia" w:hAnsiTheme="minorEastAsia" w:eastAsiaTheme="minorEastAsia" w:cstheme="minorEastAsia"/>
          <w:sz w:val="30"/>
          <w:szCs w:val="30"/>
        </w:rPr>
        <w:t>授予具有良好的科学道德和学术风范，活跃在当代科学技术前沿，从事智能科学研究或者智能技术开发工作，在智能科学技术领域具有引领性原创成果，长期致力于推进广西智能科学技术进步，推动学科发展做出突出贡献的个人。</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highlight w:val="none"/>
          <w:shd w:val="clear" w:color="auto" w:fill="FFFFFF"/>
        </w:rPr>
      </w:pPr>
      <w:r>
        <w:rPr>
          <w:rStyle w:val="6"/>
          <w:rFonts w:hint="eastAsia" w:asciiTheme="minorEastAsia" w:hAnsiTheme="minorEastAsia" w:eastAsiaTheme="minorEastAsia" w:cstheme="minorEastAsia"/>
          <w:b w:val="0"/>
          <w:bCs/>
          <w:spacing w:val="15"/>
          <w:sz w:val="30"/>
          <w:szCs w:val="30"/>
          <w:highlight w:val="none"/>
          <w:shd w:val="clear" w:color="auto" w:fill="FFFFFF"/>
          <w:lang w:eastAsia="zh-CN"/>
        </w:rPr>
        <w:t>八桂人工智能优秀科技工作者奖</w:t>
      </w:r>
      <w:r>
        <w:rPr>
          <w:rStyle w:val="6"/>
          <w:rFonts w:hint="eastAsia" w:asciiTheme="minorEastAsia" w:hAnsiTheme="minorEastAsia" w:eastAsiaTheme="minorEastAsia" w:cstheme="minorEastAsia"/>
          <w:b w:val="0"/>
          <w:bCs/>
          <w:spacing w:val="15"/>
          <w:sz w:val="30"/>
          <w:szCs w:val="30"/>
          <w:highlight w:val="none"/>
          <w:shd w:val="clear" w:color="auto" w:fill="FFFFFF"/>
        </w:rPr>
        <w:t>不设等级，授奖人数不超过</w:t>
      </w:r>
      <w:r>
        <w:rPr>
          <w:rStyle w:val="6"/>
          <w:rFonts w:hint="eastAsia" w:asciiTheme="minorEastAsia" w:hAnsiTheme="minorEastAsia" w:eastAsiaTheme="minorEastAsia" w:cstheme="minorEastAsia"/>
          <w:b w:val="0"/>
          <w:bCs/>
          <w:spacing w:val="15"/>
          <w:sz w:val="30"/>
          <w:szCs w:val="30"/>
          <w:highlight w:val="none"/>
          <w:shd w:val="clear" w:color="auto" w:fill="FFFFFF"/>
          <w:lang w:val="en-US" w:eastAsia="zh-CN"/>
        </w:rPr>
        <w:t>20</w:t>
      </w:r>
      <w:r>
        <w:rPr>
          <w:rStyle w:val="6"/>
          <w:rFonts w:hint="eastAsia" w:asciiTheme="minorEastAsia" w:hAnsiTheme="minorEastAsia" w:eastAsiaTheme="minorEastAsia" w:cstheme="minorEastAsia"/>
          <w:b w:val="0"/>
          <w:bCs/>
          <w:spacing w:val="15"/>
          <w:sz w:val="30"/>
          <w:szCs w:val="30"/>
          <w:highlight w:val="none"/>
          <w:shd w:val="clear" w:color="auto" w:fill="FFFFFF"/>
        </w:rPr>
        <w:t>人。</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评审组织及管理</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pacing w:val="15"/>
          <w:sz w:val="30"/>
          <w:szCs w:val="30"/>
          <w:shd w:val="clear" w:color="auto" w:fill="FFFFFF"/>
        </w:rPr>
      </w:pPr>
      <w:r>
        <w:rPr>
          <w:rStyle w:val="6"/>
          <w:rFonts w:hint="eastAsia" w:asciiTheme="minorEastAsia" w:hAnsiTheme="minorEastAsia" w:eastAsiaTheme="minorEastAsia" w:cstheme="minorEastAsia"/>
          <w:b w:val="0"/>
          <w:bCs/>
          <w:spacing w:val="15"/>
          <w:sz w:val="30"/>
          <w:szCs w:val="30"/>
          <w:shd w:val="clear" w:color="auto" w:fill="FFFFFF"/>
        </w:rPr>
        <w:t>奖励工作委员会负责对</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Style w:val="6"/>
          <w:rFonts w:hint="eastAsia" w:asciiTheme="minorEastAsia" w:hAnsiTheme="minorEastAsia" w:eastAsiaTheme="minorEastAsia" w:cstheme="minorEastAsia"/>
          <w:b w:val="0"/>
          <w:bCs/>
          <w:spacing w:val="15"/>
          <w:sz w:val="30"/>
          <w:szCs w:val="30"/>
          <w:shd w:val="clear" w:color="auto" w:fill="FFFFFF"/>
        </w:rPr>
        <w:t>评审进行宏观管理和指导。其主要职责是：</w:t>
      </w:r>
    </w:p>
    <w:p>
      <w:pPr>
        <w:pStyle w:val="3"/>
        <w:widowControl/>
        <w:numPr>
          <w:ilvl w:val="0"/>
          <w:numId w:val="10"/>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聘请有关专家组成</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评审委员会；</w:t>
      </w:r>
    </w:p>
    <w:p>
      <w:pPr>
        <w:pStyle w:val="3"/>
        <w:widowControl/>
        <w:numPr>
          <w:ilvl w:val="0"/>
          <w:numId w:val="10"/>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审定</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的评审结果；</w:t>
      </w:r>
    </w:p>
    <w:p>
      <w:pPr>
        <w:pStyle w:val="3"/>
        <w:widowControl/>
        <w:numPr>
          <w:ilvl w:val="0"/>
          <w:numId w:val="10"/>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为完善</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的评选制度提供政策性意见和建议；</w:t>
      </w:r>
    </w:p>
    <w:p>
      <w:pPr>
        <w:pStyle w:val="3"/>
        <w:widowControl/>
        <w:numPr>
          <w:ilvl w:val="0"/>
          <w:numId w:val="10"/>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研究、解决</w:t>
      </w:r>
      <w:r>
        <w:rPr>
          <w:rStyle w:val="6"/>
          <w:rFonts w:hint="eastAsia" w:asciiTheme="minorEastAsia" w:hAnsiTheme="minorEastAsia" w:eastAsiaTheme="minorEastAsia" w:cstheme="minorEastAsia"/>
          <w:b w:val="0"/>
          <w:bCs/>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评选工作中出现的问题；</w:t>
      </w:r>
    </w:p>
    <w:p>
      <w:pPr>
        <w:pStyle w:val="3"/>
        <w:widowControl/>
        <w:numPr>
          <w:ilvl w:val="0"/>
          <w:numId w:val="10"/>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研究提名推荐广西科学技术奖励候选项目。</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Style w:val="6"/>
          <w:rFonts w:hint="eastAsia" w:asciiTheme="minorEastAsia" w:hAnsiTheme="minorEastAsia" w:eastAsiaTheme="minorEastAsia" w:cstheme="minorEastAsia"/>
          <w:b w:val="0"/>
          <w:bCs/>
          <w:sz w:val="30"/>
          <w:szCs w:val="30"/>
        </w:rPr>
        <w:t>奖励工作委员会机构设置：</w:t>
      </w:r>
    </w:p>
    <w:p>
      <w:pPr>
        <w:pStyle w:val="3"/>
        <w:widowControl/>
        <w:shd w:val="clear" w:color="auto" w:fill="FFFFFF"/>
        <w:tabs>
          <w:tab w:val="left" w:pos="0"/>
        </w:tabs>
        <w:spacing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奖励工作委员会委员6至10人。设主任委员1人，秘书长1人。主任委员由学会理事长担任。</w:t>
      </w:r>
      <w:r>
        <w:rPr>
          <w:rFonts w:hint="eastAsia" w:asciiTheme="minorEastAsia" w:hAnsiTheme="minorEastAsia" w:eastAsiaTheme="minorEastAsia" w:cstheme="minorEastAsia"/>
          <w:sz w:val="30"/>
          <w:szCs w:val="30"/>
          <w:lang w:eastAsia="zh-CN"/>
        </w:rPr>
        <w:t>八桂人工智能科学技术奖</w:t>
      </w:r>
      <w:r>
        <w:rPr>
          <w:rStyle w:val="6"/>
          <w:rFonts w:hint="eastAsia" w:asciiTheme="minorEastAsia" w:hAnsiTheme="minorEastAsia" w:eastAsiaTheme="minorEastAsia" w:cstheme="minorEastAsia"/>
          <w:b w:val="0"/>
          <w:bCs/>
          <w:sz w:val="30"/>
          <w:szCs w:val="30"/>
        </w:rPr>
        <w:t>励工作委员会委员由从事智能科技研究、教育、管理和应用等领域的著名专家、学者和研究机构负责人员组成。</w:t>
      </w:r>
    </w:p>
    <w:p>
      <w:pPr>
        <w:pStyle w:val="3"/>
        <w:widowControl/>
        <w:shd w:val="clear" w:color="auto" w:fill="FFFFFF"/>
        <w:tabs>
          <w:tab w:val="left" w:pos="0"/>
        </w:tabs>
        <w:spacing w:beforeAutospacing="0" w:after="150" w:afterAutospacing="0" w:line="560" w:lineRule="exact"/>
        <w:ind w:right="147" w:firstLine="600" w:firstLineChars="200"/>
        <w:jc w:val="both"/>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sz w:val="30"/>
          <w:szCs w:val="30"/>
        </w:rPr>
        <w:t>奖励工作委员会委员从学会专家智库遴选，经学会常务理事会审议通过后产生。委员采取任期制，每届任期3年，连续任期不得超过两届。</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Style w:val="6"/>
          <w:rFonts w:hint="eastAsia" w:asciiTheme="minorEastAsia" w:hAnsiTheme="minorEastAsia" w:eastAsiaTheme="minorEastAsia" w:cstheme="minorEastAsia"/>
          <w:b w:val="0"/>
          <w:bCs/>
          <w:sz w:val="30"/>
          <w:szCs w:val="30"/>
        </w:rPr>
        <w:t>奖励工作委员会设立</w:t>
      </w:r>
      <w:r>
        <w:rPr>
          <w:rStyle w:val="6"/>
          <w:rFonts w:hint="eastAsia" w:asciiTheme="minorEastAsia" w:hAnsiTheme="minorEastAsia" w:eastAsiaTheme="minorEastAsia" w:cstheme="minorEastAsia"/>
          <w:b w:val="0"/>
          <w:bCs/>
          <w:sz w:val="30"/>
          <w:szCs w:val="30"/>
          <w:lang w:eastAsia="zh-CN"/>
        </w:rPr>
        <w:t>八桂人工智能科学技术奖</w:t>
      </w:r>
      <w:r>
        <w:rPr>
          <w:rStyle w:val="6"/>
          <w:rFonts w:hint="eastAsia" w:asciiTheme="minorEastAsia" w:hAnsiTheme="minorEastAsia" w:eastAsiaTheme="minorEastAsia" w:cstheme="minorEastAsia"/>
          <w:b w:val="0"/>
          <w:bCs/>
          <w:sz w:val="30"/>
          <w:szCs w:val="30"/>
        </w:rPr>
        <w:t>励监督委员会(简称监督委员会)，负责对</w:t>
      </w:r>
      <w:r>
        <w:rPr>
          <w:rStyle w:val="6"/>
          <w:rFonts w:hint="eastAsia" w:asciiTheme="minorEastAsia" w:hAnsiTheme="minorEastAsia" w:eastAsiaTheme="minorEastAsia" w:cstheme="minorEastAsia"/>
          <w:b w:val="0"/>
          <w:bCs/>
          <w:sz w:val="30"/>
          <w:szCs w:val="30"/>
          <w:lang w:eastAsia="zh-CN"/>
        </w:rPr>
        <w:t>八桂人工智能科学技术奖</w:t>
      </w:r>
      <w:r>
        <w:rPr>
          <w:rStyle w:val="6"/>
          <w:rFonts w:hint="eastAsia" w:asciiTheme="minorEastAsia" w:hAnsiTheme="minorEastAsia" w:eastAsiaTheme="minorEastAsia" w:cstheme="minorEastAsia"/>
          <w:b w:val="0"/>
          <w:bCs/>
          <w:sz w:val="30"/>
          <w:szCs w:val="30"/>
        </w:rPr>
        <w:t>的评审和异议处理工作进行监督。</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Style w:val="6"/>
          <w:rFonts w:hint="eastAsia" w:asciiTheme="minorEastAsia" w:hAnsiTheme="minorEastAsia" w:eastAsiaTheme="minorEastAsia" w:cstheme="minorEastAsia"/>
          <w:b w:val="0"/>
          <w:bCs/>
          <w:sz w:val="30"/>
          <w:szCs w:val="30"/>
        </w:rPr>
        <w:t>奖励工作委员会下设</w:t>
      </w:r>
      <w:r>
        <w:rPr>
          <w:rStyle w:val="6"/>
          <w:rFonts w:hint="eastAsia" w:asciiTheme="minorEastAsia" w:hAnsiTheme="minorEastAsia" w:eastAsiaTheme="minorEastAsia" w:cstheme="minorEastAsia"/>
          <w:b w:val="0"/>
          <w:bCs/>
          <w:sz w:val="30"/>
          <w:szCs w:val="30"/>
          <w:lang w:eastAsia="zh-CN"/>
        </w:rPr>
        <w:t>八桂人工智能科学技术奖</w:t>
      </w:r>
      <w:r>
        <w:rPr>
          <w:rStyle w:val="6"/>
          <w:rFonts w:hint="eastAsia" w:asciiTheme="minorEastAsia" w:hAnsiTheme="minorEastAsia" w:eastAsiaTheme="minorEastAsia" w:cstheme="minorEastAsia"/>
          <w:b w:val="0"/>
          <w:bCs/>
          <w:sz w:val="30"/>
          <w:szCs w:val="30"/>
        </w:rPr>
        <w:t>励评审委员会(简称奖励评审委员会)，其主要职责是：</w:t>
      </w:r>
    </w:p>
    <w:p>
      <w:pPr>
        <w:pStyle w:val="3"/>
        <w:widowControl/>
        <w:numPr>
          <w:ilvl w:val="0"/>
          <w:numId w:val="11"/>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负责</w:t>
      </w: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的会议初评和终评、答辩等具体评审工作；</w:t>
      </w:r>
    </w:p>
    <w:p>
      <w:pPr>
        <w:pStyle w:val="3"/>
        <w:widowControl/>
        <w:numPr>
          <w:ilvl w:val="0"/>
          <w:numId w:val="11"/>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向奖励工作委员会报告评审结果；</w:t>
      </w:r>
    </w:p>
    <w:p>
      <w:pPr>
        <w:pStyle w:val="3"/>
        <w:widowControl/>
        <w:numPr>
          <w:ilvl w:val="0"/>
          <w:numId w:val="11"/>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对完善</w:t>
      </w: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励工作提出意见建议。</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z w:val="30"/>
          <w:szCs w:val="30"/>
          <w:shd w:val="clear" w:color="auto" w:fill="FFFFFF"/>
        </w:rPr>
      </w:pPr>
      <w:r>
        <w:rPr>
          <w:rStyle w:val="6"/>
          <w:rFonts w:hint="eastAsia" w:asciiTheme="minorEastAsia" w:hAnsiTheme="minorEastAsia" w:eastAsiaTheme="minorEastAsia" w:cstheme="minorEastAsia"/>
          <w:b w:val="0"/>
          <w:bCs/>
          <w:sz w:val="30"/>
          <w:szCs w:val="30"/>
        </w:rPr>
        <w:t>评审委员会委员应具备的条件：</w:t>
      </w:r>
    </w:p>
    <w:p>
      <w:pPr>
        <w:pStyle w:val="3"/>
        <w:widowControl/>
        <w:numPr>
          <w:ilvl w:val="0"/>
          <w:numId w:val="12"/>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热爱科学技术奖励工作，能够按时参加评审工作及有关活动，且活跃在科研工作一线；</w:t>
      </w:r>
    </w:p>
    <w:p>
      <w:pPr>
        <w:pStyle w:val="3"/>
        <w:widowControl/>
        <w:numPr>
          <w:ilvl w:val="0"/>
          <w:numId w:val="12"/>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具有高级专业职称，熟悉人工智能领域国内外科技动态和发展趋势，有较强的综合分析判断能力；</w:t>
      </w:r>
    </w:p>
    <w:p>
      <w:pPr>
        <w:pStyle w:val="3"/>
        <w:widowControl/>
        <w:numPr>
          <w:ilvl w:val="0"/>
          <w:numId w:val="12"/>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职业道德良好，工作认真负责，遵纪守法；</w:t>
      </w:r>
    </w:p>
    <w:p>
      <w:pPr>
        <w:pStyle w:val="3"/>
        <w:widowControl/>
        <w:numPr>
          <w:ilvl w:val="0"/>
          <w:numId w:val="12"/>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参评奖项的完成人不得担任当年评审专家委员。</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Style w:val="6"/>
          <w:rFonts w:hint="eastAsia" w:asciiTheme="minorEastAsia" w:hAnsiTheme="minorEastAsia" w:eastAsiaTheme="minorEastAsia" w:cstheme="minorEastAsia"/>
          <w:b w:val="0"/>
          <w:bCs/>
          <w:sz w:val="30"/>
          <w:szCs w:val="30"/>
        </w:rPr>
        <w:t>评审委员会委员每年从学会专家智库中遴选，经学会理事长办公会审议通过后产生，且至少与上年有1/3以上专家不同。原则上，评审委员会审核通过的专家委员人数应该有冗余，作为部分委员临时因故不能出席评审会议的备选专家。</w:t>
      </w:r>
    </w:p>
    <w:p>
      <w:pPr>
        <w:pStyle w:val="3"/>
        <w:widowControl/>
        <w:numPr>
          <w:ilvl w:val="2"/>
          <w:numId w:val="2"/>
        </w:numPr>
        <w:shd w:val="clear" w:color="auto" w:fill="FFFFFF"/>
        <w:spacing w:before="150" w:beforeAutospacing="0" w:after="15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Style w:val="6"/>
          <w:rFonts w:hint="eastAsia" w:asciiTheme="minorEastAsia" w:hAnsiTheme="minorEastAsia" w:eastAsiaTheme="minorEastAsia" w:cstheme="minorEastAsia"/>
          <w:b w:val="0"/>
          <w:bCs/>
          <w:sz w:val="30"/>
          <w:szCs w:val="30"/>
          <w:lang w:eastAsia="zh-CN"/>
        </w:rPr>
        <w:t>八桂人工智能科学技术奖</w:t>
      </w:r>
      <w:r>
        <w:rPr>
          <w:rStyle w:val="6"/>
          <w:rFonts w:hint="eastAsia" w:asciiTheme="minorEastAsia" w:hAnsiTheme="minorEastAsia" w:eastAsiaTheme="minorEastAsia" w:cstheme="minorEastAsia"/>
          <w:b w:val="0"/>
          <w:bCs/>
          <w:sz w:val="30"/>
          <w:szCs w:val="30"/>
        </w:rPr>
        <w:t>评审委员会和相关的工作人员应当对被推荐人和被推荐单位所完成项目的技术内容及评审情况严格保守秘密。评奖过程中，评审委会委员和奖励工作委员会工作人员必须严守评审保密制度，不得泄露评审小组成员名单；相应奖项颁奖之后，评选小组成员名单对外公布。如擅自泄露评审信息造成严重后果，将追究当事人相关违纪责任。</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推荐与受理</w:t>
      </w:r>
    </w:p>
    <w:p>
      <w:pPr>
        <w:pStyle w:val="3"/>
        <w:widowControl/>
        <w:numPr>
          <w:ilvl w:val="2"/>
          <w:numId w:val="2"/>
        </w:numPr>
        <w:shd w:val="clear" w:color="auto" w:fill="FFFFFF"/>
        <w:spacing w:before="150" w:beforeAutospacing="0" w:afterAutospacing="0" w:line="560" w:lineRule="exact"/>
        <w:ind w:right="147" w:firstLine="403"/>
        <w:jc w:val="both"/>
        <w:rPr>
          <w:rStyle w:val="6"/>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接受推荐或自荐，自荐者必须为学会会员单位或个人会员，非本会会员需由专家或单位推荐。</w:t>
      </w:r>
    </w:p>
    <w:p>
      <w:pPr>
        <w:pStyle w:val="3"/>
        <w:widowControl/>
        <w:numPr>
          <w:ilvl w:val="0"/>
          <w:numId w:val="0"/>
        </w:numPr>
        <w:shd w:val="clear" w:color="auto" w:fill="FFFFFF"/>
        <w:tabs>
          <w:tab w:val="left" w:pos="0"/>
        </w:tabs>
        <w:spacing w:before="150" w:beforeAutospacing="0" w:afterAutospacing="0" w:line="560" w:lineRule="exact"/>
        <w:ind w:left="403" w:leftChars="0" w:right="147" w:rightChars="0"/>
        <w:jc w:val="both"/>
        <w:rPr>
          <w:rStyle w:val="6"/>
          <w:rFonts w:hint="eastAsia" w:asciiTheme="minorEastAsia" w:hAnsiTheme="minorEastAsia" w:eastAsiaTheme="minorEastAsia" w:cstheme="minorEastAsia"/>
          <w:b w:val="0"/>
          <w:bCs/>
          <w:sz w:val="30"/>
          <w:szCs w:val="30"/>
        </w:rPr>
      </w:pPr>
      <w:r>
        <w:rPr>
          <w:rFonts w:hint="eastAsia" w:asciiTheme="minorEastAsia" w:hAnsiTheme="minorEastAsia" w:eastAsiaTheme="minorEastAsia" w:cstheme="minorEastAsia"/>
          <w:sz w:val="30"/>
          <w:szCs w:val="30"/>
        </w:rPr>
        <w:t>具有资格推荐的专家和单位如下：</w:t>
      </w:r>
    </w:p>
    <w:p>
      <w:pPr>
        <w:pStyle w:val="3"/>
        <w:widowControl/>
        <w:numPr>
          <w:ilvl w:val="0"/>
          <w:numId w:val="1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专家推荐：</w:t>
      </w:r>
    </w:p>
    <w:p>
      <w:pPr>
        <w:pStyle w:val="3"/>
        <w:widowControl/>
        <w:numPr>
          <w:ilvl w:val="0"/>
          <w:numId w:val="14"/>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中国科学院院士、中国工程院院士、经自治区认定的高层次人才的自然科学领域A层次人才；</w:t>
      </w:r>
    </w:p>
    <w:p>
      <w:pPr>
        <w:pStyle w:val="3"/>
        <w:widowControl/>
        <w:numPr>
          <w:ilvl w:val="0"/>
          <w:numId w:val="14"/>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经自治区认定的高层次人才的自然科学领域B、C层次人才，自治区自然科学领域的八桂学者；</w:t>
      </w:r>
    </w:p>
    <w:p>
      <w:pPr>
        <w:pStyle w:val="3"/>
        <w:widowControl/>
        <w:numPr>
          <w:ilvl w:val="0"/>
          <w:numId w:val="14"/>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学会副理事长、领域分会/专业委员会主任委员；</w:t>
      </w:r>
    </w:p>
    <w:p>
      <w:pPr>
        <w:pStyle w:val="3"/>
        <w:widowControl/>
        <w:numPr>
          <w:ilvl w:val="0"/>
          <w:numId w:val="13"/>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单位推荐：</w:t>
      </w:r>
    </w:p>
    <w:p>
      <w:pPr>
        <w:pStyle w:val="3"/>
        <w:widowControl/>
        <w:numPr>
          <w:ilvl w:val="0"/>
          <w:numId w:val="15"/>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学会领域分会/专业工作委员会；</w:t>
      </w:r>
    </w:p>
    <w:p>
      <w:pPr>
        <w:pStyle w:val="3"/>
        <w:widowControl/>
        <w:numPr>
          <w:ilvl w:val="0"/>
          <w:numId w:val="15"/>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各高校人工智能研究院（学院）推荐；</w:t>
      </w:r>
    </w:p>
    <w:p>
      <w:pPr>
        <w:pStyle w:val="3"/>
        <w:widowControl/>
        <w:numPr>
          <w:ilvl w:val="0"/>
          <w:numId w:val="15"/>
        </w:numPr>
        <w:tabs>
          <w:tab w:val="left" w:pos="426"/>
          <w:tab w:val="left" w:pos="993"/>
        </w:tabs>
        <w:spacing w:beforeAutospacing="0" w:afterAutospacing="0" w:line="560" w:lineRule="exact"/>
        <w:ind w:left="0"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学会会员单位推荐；</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w:t>
      </w:r>
      <w:r>
        <w:rPr>
          <w:rFonts w:hint="eastAsia" w:asciiTheme="minorEastAsia" w:hAnsiTheme="minorEastAsia" w:eastAsiaTheme="minorEastAsia" w:cstheme="minorEastAsia"/>
          <w:spacing w:val="15"/>
          <w:sz w:val="30"/>
          <w:szCs w:val="30"/>
          <w:shd w:val="clear" w:color="auto" w:fill="FFFFFF"/>
        </w:rPr>
        <w:t>专家应当在本人熟悉的一级学科范围内推荐；推荐单位应当推荐本学科、本行业、本地区、本部门的优秀项目。</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办公室应根据自治区和学会科技创新工作总体部署提出年度自然科学奖、技术发明奖和科技进步奖3个类别的一等奖、二等奖、三等奖奖励项目分配指标，根据广西科协科技创新工作总体部署提出优秀科技工作者奖的分配指标，报学会理事长办公会研究审定，并在推荐通知中公布。</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推荐专家和推荐单位应当择优推荐</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候选项目（人）。</w:t>
      </w:r>
    </w:p>
    <w:p>
      <w:pPr>
        <w:pStyle w:val="3"/>
        <w:keepNext w:val="0"/>
        <w:keepLines w:val="0"/>
        <w:pageBreakBefore w:val="0"/>
        <w:widowControl/>
        <w:numPr>
          <w:ilvl w:val="0"/>
          <w:numId w:val="0"/>
        </w:numPr>
        <w:shd w:val="clear" w:color="auto" w:fill="FFFFFF"/>
        <w:tabs>
          <w:tab w:val="left" w:pos="0"/>
        </w:tabs>
        <w:kinsoku/>
        <w:wordWrap/>
        <w:overflowPunct/>
        <w:topLinePunct w:val="0"/>
        <w:autoSpaceDE/>
        <w:autoSpaceDN/>
        <w:bidi w:val="0"/>
        <w:adjustRightInd/>
        <w:snapToGrid/>
        <w:spacing w:before="150" w:beforeAutospacing="0" w:afterAutospacing="0" w:line="560" w:lineRule="exact"/>
        <w:ind w:right="147" w:rightChars="0"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推荐自然科学奖、技术发明奖和科技进步奖原则上不限额。被推荐项目（人）的推荐奖励等级不能超过两个</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符合本细则规定的推荐专家和单位应当遵守推荐规则和程序，严格依据标准条件推荐，说明推荐项目的贡献程度及奖励类别、奖励等级等建议。项目推荐受理后，不得申请变更推荐奖励等级。</w:t>
      </w:r>
    </w:p>
    <w:p>
      <w:pPr>
        <w:pStyle w:val="3"/>
        <w:widowControl/>
        <w:shd w:val="clear" w:color="auto" w:fill="FFFFFF"/>
        <w:spacing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国科学院院士、中国工程院院士、经自治区认定的高层次人才的自然科学领域A层次人才，每人每年可以独立推荐所熟悉专业领域项目2项；经自治区认定的高层次人才的自然科学领域B、C层次人才，自治区自然科学领域的八桂学者，每人每年度可以独立推荐所熟悉专业领域项目1项；学会副理事长、领域分会/专业委员会主任委员，2人联合每年可以推荐所熟悉专业领域项目1项。联合推荐的，列第一位的专家为责任专家。专家不得推荐本单位完成的项目。</w:t>
      </w:r>
    </w:p>
    <w:p>
      <w:pPr>
        <w:pStyle w:val="3"/>
        <w:widowControl/>
        <w:shd w:val="clear" w:color="auto" w:fill="FFFFFF"/>
        <w:spacing w:beforeAutospacing="0" w:after="150" w:afterAutospacing="0" w:line="560" w:lineRule="exact"/>
        <w:ind w:right="147" w:firstLine="66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每个推荐单位年度独立或与其他单位联合推荐不超过4个项目成果。</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推荐专家不能作为同年度推荐项目的主要完成人员，并且不能参与候选年度的评审活动。</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者向奖励办公室正式推荐前，应征得项目主要完成人及其工作单位和完成单位的同意，并协调完成单位组织推荐相关材料并公示，推荐单位还应在本单位、本地区、本部门范围内再次公示。推荐者协调项目主要完成单位填写由奖励办公室制作的统一格式的推荐书，提供必要的证明材料。推荐</w:t>
      </w:r>
      <w:r>
        <w:rPr>
          <w:rFonts w:hint="eastAsia" w:asciiTheme="minorEastAsia" w:hAnsiTheme="minorEastAsia" w:eastAsiaTheme="minorEastAsia" w:cstheme="minorEastAsia"/>
          <w:sz w:val="30"/>
          <w:szCs w:val="30"/>
          <w:lang w:eastAsia="zh-CN"/>
        </w:rPr>
        <w:t>表</w:t>
      </w:r>
      <w:r>
        <w:rPr>
          <w:rFonts w:hint="eastAsia" w:asciiTheme="minorEastAsia" w:hAnsiTheme="minorEastAsia" w:eastAsiaTheme="minorEastAsia" w:cstheme="minorEastAsia"/>
          <w:sz w:val="30"/>
          <w:szCs w:val="30"/>
        </w:rPr>
        <w:t>及有关材料应当完整、准确、真实、合法。</w:t>
      </w:r>
    </w:p>
    <w:p>
      <w:pPr>
        <w:pStyle w:val="3"/>
        <w:widowControl/>
        <w:shd w:val="clear" w:color="auto" w:fill="FFFFFF"/>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被推荐项目的主要完成单位、主要完成人员或者被推荐人，应当在所涉及的主要完成单位及其工作单位中，将项目名称、简介、知识产权、论文、主要完成单位与主要完成人员（被推荐人）的创造性贡献等内容进行公示，公示时间不少于7天，无异议或者异议不成立或者异议解除后方能推荐。</w:t>
      </w:r>
    </w:p>
    <w:p>
      <w:pPr>
        <w:pStyle w:val="3"/>
        <w:widowControl/>
        <w:numPr>
          <w:ilvl w:val="2"/>
          <w:numId w:val="2"/>
        </w:numPr>
        <w:shd w:val="clear" w:color="auto" w:fill="FFFFFF"/>
        <w:spacing w:before="150" w:beforeAutospacing="0" w:afterAutospacing="0" w:line="560" w:lineRule="exact"/>
        <w:ind w:right="147" w:firstLine="600" w:firstLineChars="20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z w:val="30"/>
          <w:szCs w:val="30"/>
        </w:rPr>
        <w:t>凡存在知识产权以及有关完成单位、完成人员等方面争议，或者正处于诉讼、仲裁或者行政裁决、行政复议程序中的项目（人），未解决处理前不得推荐。</w:t>
      </w:r>
    </w:p>
    <w:p>
      <w:pPr>
        <w:pStyle w:val="3"/>
        <w:widowControl/>
        <w:numPr>
          <w:ilvl w:val="2"/>
          <w:numId w:val="2"/>
        </w:numPr>
        <w:shd w:val="clear" w:color="auto" w:fill="FFFFFF"/>
        <w:spacing w:before="150"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法律、行政法规规定必须取得有关许可证的项目，在未获得主管行政机关批准之前不得推荐。</w:t>
      </w:r>
    </w:p>
    <w:p>
      <w:pPr>
        <w:pStyle w:val="3"/>
        <w:widowControl/>
        <w:numPr>
          <w:ilvl w:val="2"/>
          <w:numId w:val="2"/>
        </w:numPr>
        <w:shd w:val="clear" w:color="auto" w:fill="FFFFFF"/>
        <w:spacing w:before="150"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w:t>
      </w:r>
      <w:r>
        <w:rPr>
          <w:rFonts w:hint="eastAsia" w:asciiTheme="minorEastAsia" w:hAnsiTheme="minorEastAsia" w:cstheme="minorEastAsia"/>
          <w:sz w:val="30"/>
          <w:szCs w:val="30"/>
          <w:lang w:eastAsia="zh-CN"/>
        </w:rPr>
        <w:t>八桂人工智能</w:t>
      </w:r>
      <w:r>
        <w:rPr>
          <w:rFonts w:hint="eastAsia" w:asciiTheme="minorEastAsia" w:hAnsiTheme="minorEastAsia" w:eastAsiaTheme="minorEastAsia" w:cstheme="minorEastAsia"/>
          <w:sz w:val="30"/>
          <w:szCs w:val="30"/>
        </w:rPr>
        <w:t>科学技术奖自然科学类、技术发明类和科技进步类的项目，不得采用已获得历年</w:t>
      </w:r>
      <w:r>
        <w:rPr>
          <w:rFonts w:hint="eastAsia" w:asciiTheme="minorEastAsia" w:hAnsiTheme="minorEastAsia" w:cstheme="minorEastAsia"/>
          <w:sz w:val="30"/>
          <w:szCs w:val="30"/>
          <w:lang w:eastAsia="zh-CN"/>
        </w:rPr>
        <w:t>八桂人工智能</w:t>
      </w:r>
      <w:r>
        <w:rPr>
          <w:rFonts w:hint="eastAsia" w:asciiTheme="minorEastAsia" w:hAnsiTheme="minorEastAsia" w:eastAsiaTheme="minorEastAsia" w:cstheme="minorEastAsia"/>
          <w:sz w:val="30"/>
          <w:szCs w:val="30"/>
        </w:rPr>
        <w:t>科学技术奖项目的创新要点、知识产权、论文、标准等技术内容；不得推荐已获得历年</w:t>
      </w:r>
      <w:r>
        <w:rPr>
          <w:rFonts w:hint="eastAsia" w:asciiTheme="minorEastAsia" w:hAnsiTheme="minorEastAsia" w:cstheme="minorEastAsia"/>
          <w:sz w:val="30"/>
          <w:szCs w:val="30"/>
          <w:lang w:eastAsia="zh-CN"/>
        </w:rPr>
        <w:t>广西</w:t>
      </w:r>
      <w:r>
        <w:rPr>
          <w:rFonts w:hint="eastAsia" w:asciiTheme="minorEastAsia" w:hAnsiTheme="minorEastAsia" w:eastAsiaTheme="minorEastAsia" w:cstheme="minorEastAsia"/>
          <w:sz w:val="30"/>
          <w:szCs w:val="30"/>
        </w:rPr>
        <w:t>科学技术奖和其他省部级科学技术奖的项目。</w:t>
      </w:r>
    </w:p>
    <w:p>
      <w:pPr>
        <w:pStyle w:val="3"/>
        <w:widowControl/>
        <w:numPr>
          <w:ilvl w:val="2"/>
          <w:numId w:val="2"/>
        </w:numPr>
        <w:shd w:val="clear" w:color="auto" w:fill="FFFFFF"/>
        <w:spacing w:before="150"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经奖励办公室形式审查不符合规定的推荐材料，推荐单位或者推荐专家、被推荐项目（人）应当在规定时间内补正，逾期没有补正或者经补正后仍不符合要求的，不予以提交评审。</w:t>
      </w:r>
    </w:p>
    <w:p>
      <w:pPr>
        <w:pStyle w:val="3"/>
        <w:widowControl/>
        <w:shd w:val="clear" w:color="auto" w:fill="FFFFFF"/>
        <w:tabs>
          <w:tab w:val="left" w:pos="0"/>
        </w:tabs>
        <w:spacing w:beforeAutospacing="0" w:afterAutospacing="0" w:line="560" w:lineRule="exact"/>
        <w:ind w:left="403" w:right="147"/>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形式审查主要包括：</w:t>
      </w:r>
    </w:p>
    <w:p>
      <w:pPr>
        <w:pStyle w:val="3"/>
        <w:widowControl/>
        <w:numPr>
          <w:ilvl w:val="0"/>
          <w:numId w:val="1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推荐项目是否符合</w:t>
      </w: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励条例和实施细则的有关规定；</w:t>
      </w:r>
    </w:p>
    <w:p>
      <w:pPr>
        <w:pStyle w:val="3"/>
        <w:widowControl/>
        <w:numPr>
          <w:ilvl w:val="0"/>
          <w:numId w:val="1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推荐</w:t>
      </w:r>
      <w:r>
        <w:rPr>
          <w:rFonts w:hint="eastAsia" w:asciiTheme="minorEastAsia" w:hAnsiTheme="minorEastAsia" w:eastAsiaTheme="minorEastAsia" w:cstheme="minorEastAsia"/>
          <w:spacing w:val="15"/>
          <w:sz w:val="30"/>
          <w:szCs w:val="30"/>
          <w:shd w:val="clear" w:color="auto" w:fill="FFFFFF"/>
          <w:lang w:eastAsia="zh-CN"/>
        </w:rPr>
        <w:t>表</w:t>
      </w:r>
      <w:r>
        <w:rPr>
          <w:rFonts w:hint="eastAsia" w:asciiTheme="minorEastAsia" w:hAnsiTheme="minorEastAsia" w:eastAsiaTheme="minorEastAsia" w:cstheme="minorEastAsia"/>
          <w:spacing w:val="15"/>
          <w:sz w:val="30"/>
          <w:szCs w:val="30"/>
          <w:shd w:val="clear" w:color="auto" w:fill="FFFFFF"/>
        </w:rPr>
        <w:t>是否符合填写说明的要求，附件是否齐全；</w:t>
      </w:r>
    </w:p>
    <w:p>
      <w:pPr>
        <w:pStyle w:val="3"/>
        <w:widowControl/>
        <w:numPr>
          <w:ilvl w:val="0"/>
          <w:numId w:val="1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推荐</w:t>
      </w:r>
      <w:r>
        <w:rPr>
          <w:rFonts w:hint="eastAsia" w:asciiTheme="minorEastAsia" w:hAnsiTheme="minorEastAsia" w:eastAsiaTheme="minorEastAsia" w:cstheme="minorEastAsia"/>
          <w:spacing w:val="15"/>
          <w:sz w:val="30"/>
          <w:szCs w:val="30"/>
          <w:shd w:val="clear" w:color="auto" w:fill="FFFFFF"/>
          <w:lang w:eastAsia="zh-CN"/>
        </w:rPr>
        <w:t>表</w:t>
      </w:r>
      <w:r>
        <w:rPr>
          <w:rFonts w:hint="eastAsia" w:asciiTheme="minorEastAsia" w:hAnsiTheme="minorEastAsia" w:eastAsiaTheme="minorEastAsia" w:cstheme="minorEastAsia"/>
          <w:spacing w:val="15"/>
          <w:sz w:val="30"/>
          <w:szCs w:val="30"/>
          <w:shd w:val="clear" w:color="auto" w:fill="FFFFFF"/>
        </w:rPr>
        <w:t>的内容是否属实，并有推荐单位和相关责任完成人的签字和盖章；</w:t>
      </w:r>
    </w:p>
    <w:p>
      <w:pPr>
        <w:pStyle w:val="3"/>
        <w:widowControl/>
        <w:numPr>
          <w:ilvl w:val="0"/>
          <w:numId w:val="16"/>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推荐项目技术证明文件齐全，项目应经科技成果评价、验收、评审或获得授权发明技术专利后实际应用两年以上(含两年)。</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推荐单位和推荐专家应承担推荐、异议处理等责任，并对相关材料的真实性负责。推荐单位应当建立规范的推荐遴选机制，择优推荐。</w:t>
      </w:r>
    </w:p>
    <w:p>
      <w:pPr>
        <w:pStyle w:val="3"/>
        <w:widowControl/>
        <w:shd w:val="clear" w:color="auto" w:fill="FFFFFF"/>
        <w:spacing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项目主要完成单位和主要完成人员，应当如实填写推荐材料，并对推荐材料的真实性、有效性和准确性负责。</w:t>
      </w:r>
    </w:p>
    <w:p>
      <w:pPr>
        <w:pStyle w:val="3"/>
        <w:widowControl/>
        <w:shd w:val="clear" w:color="auto" w:fill="FFFFFF"/>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推荐者应当恪尽职守、切实履行职责，客观、公平、公正地做好广西科学技术奖推荐工作，维护风清气正的评审环境，坚决杜绝任何不端行为。 </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评审</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每年评审1次。</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奖励工作委员会确定规范的评审流程，邀请学会副理事长、领域分会/专委会主任、常务理事，以及外聘院士和专家等组成</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评审专家库，划分专业函评、评审委员会</w:t>
      </w:r>
      <w:r>
        <w:rPr>
          <w:rFonts w:hint="eastAsia" w:asciiTheme="minorEastAsia" w:hAnsiTheme="minorEastAsia" w:cstheme="minorEastAsia"/>
          <w:sz w:val="30"/>
          <w:szCs w:val="30"/>
          <w:lang w:eastAsia="zh-CN"/>
        </w:rPr>
        <w:t>终</w:t>
      </w:r>
      <w:r>
        <w:rPr>
          <w:rFonts w:hint="eastAsia" w:asciiTheme="minorEastAsia" w:hAnsiTheme="minorEastAsia" w:eastAsiaTheme="minorEastAsia" w:cstheme="minorEastAsia"/>
          <w:sz w:val="30"/>
          <w:szCs w:val="30"/>
        </w:rPr>
        <w:t>评等评审流程及运行机制。</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对形式审查合格的推荐材料，由奖励办公室提交</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励工作委员会，</w:t>
      </w:r>
      <w:r>
        <w:rPr>
          <w:rFonts w:hint="eastAsia" w:asciiTheme="minorEastAsia" w:hAnsiTheme="minorEastAsia" w:cstheme="minorEastAsia"/>
          <w:sz w:val="30"/>
          <w:szCs w:val="30"/>
          <w:lang w:eastAsia="zh-CN"/>
        </w:rPr>
        <w:t>设置</w:t>
      </w:r>
      <w:r>
        <w:rPr>
          <w:rFonts w:hint="eastAsia" w:asciiTheme="minorEastAsia" w:hAnsiTheme="minorEastAsia" w:eastAsiaTheme="minorEastAsia" w:cstheme="minorEastAsia"/>
          <w:sz w:val="30"/>
          <w:szCs w:val="30"/>
        </w:rPr>
        <w:t>相应专业评审组进行评审。</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根据年度推荐项目成果的总数量，初评可以采取定量和定性评价相结合的方式进行。</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必要时，奖励办公室可以组织</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评审专家委员的有关评委专家，对成果完成人、成果完成单位及其项目进行实地考察。</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highlight w:val="none"/>
          <w:lang w:eastAsia="zh-CN"/>
        </w:rPr>
        <w:t>当多个推荐项目（人）评分相同时，广西人工智能学会会员单位及个人会员有优先获奖权。</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的评审表决规则如下：</w:t>
      </w:r>
    </w:p>
    <w:p>
      <w:pPr>
        <w:pStyle w:val="3"/>
        <w:widowControl/>
        <w:numPr>
          <w:ilvl w:val="0"/>
          <w:numId w:val="17"/>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专业</w:t>
      </w:r>
      <w:r>
        <w:rPr>
          <w:rFonts w:hint="eastAsia" w:asciiTheme="minorEastAsia" w:hAnsiTheme="minorEastAsia" w:eastAsiaTheme="minorEastAsia" w:cstheme="minorEastAsia"/>
          <w:spacing w:val="15"/>
          <w:sz w:val="30"/>
          <w:szCs w:val="30"/>
          <w:shd w:val="clear" w:color="auto" w:fill="FFFFFF"/>
        </w:rPr>
        <w:t>函评以</w:t>
      </w:r>
      <w:r>
        <w:rPr>
          <w:rFonts w:hint="eastAsia" w:asciiTheme="minorEastAsia" w:hAnsiTheme="minorEastAsia" w:cstheme="minorEastAsia"/>
          <w:spacing w:val="15"/>
          <w:sz w:val="30"/>
          <w:szCs w:val="30"/>
          <w:shd w:val="clear" w:color="auto" w:fill="FFFFFF"/>
          <w:lang w:eastAsia="zh-CN"/>
        </w:rPr>
        <w:t>网络</w:t>
      </w:r>
      <w:r>
        <w:rPr>
          <w:rFonts w:hint="eastAsia" w:asciiTheme="minorEastAsia" w:hAnsiTheme="minorEastAsia" w:eastAsiaTheme="minorEastAsia" w:cstheme="minorEastAsia"/>
          <w:spacing w:val="15"/>
          <w:sz w:val="30"/>
          <w:szCs w:val="30"/>
          <w:shd w:val="clear" w:color="auto" w:fill="FFFFFF"/>
        </w:rPr>
        <w:t>方式进行，函评专家从专家库中随机抽取，根据专家领域进行匹配，采用评分制产生函评结果；</w:t>
      </w:r>
    </w:p>
    <w:p>
      <w:pPr>
        <w:pStyle w:val="3"/>
        <w:widowControl/>
        <w:numPr>
          <w:ilvl w:val="0"/>
          <w:numId w:val="17"/>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评审委员会以会议方式对</w:t>
      </w:r>
      <w:r>
        <w:rPr>
          <w:rFonts w:hint="eastAsia" w:asciiTheme="minorEastAsia" w:hAnsiTheme="minorEastAsia" w:cstheme="minorEastAsia"/>
          <w:spacing w:val="15"/>
          <w:sz w:val="30"/>
          <w:szCs w:val="30"/>
          <w:shd w:val="clear" w:color="auto" w:fill="FFFFFF"/>
          <w:lang w:eastAsia="zh-CN"/>
        </w:rPr>
        <w:t>函评</w:t>
      </w:r>
      <w:r>
        <w:rPr>
          <w:rFonts w:hint="eastAsia" w:asciiTheme="minorEastAsia" w:hAnsiTheme="minorEastAsia" w:eastAsiaTheme="minorEastAsia" w:cstheme="minorEastAsia"/>
          <w:spacing w:val="15"/>
          <w:sz w:val="30"/>
          <w:szCs w:val="30"/>
          <w:shd w:val="clear" w:color="auto" w:fill="FFFFFF"/>
        </w:rPr>
        <w:t>结果进行</w:t>
      </w:r>
      <w:r>
        <w:rPr>
          <w:rFonts w:hint="eastAsia" w:asciiTheme="minorEastAsia" w:hAnsiTheme="minorEastAsia" w:cstheme="minorEastAsia"/>
          <w:spacing w:val="15"/>
          <w:sz w:val="30"/>
          <w:szCs w:val="30"/>
          <w:shd w:val="clear" w:color="auto" w:fill="FFFFFF"/>
          <w:lang w:eastAsia="zh-CN"/>
        </w:rPr>
        <w:t>终评</w:t>
      </w:r>
      <w:r>
        <w:rPr>
          <w:rFonts w:hint="eastAsia" w:asciiTheme="minorEastAsia" w:hAnsiTheme="minorEastAsia" w:eastAsiaTheme="minorEastAsia" w:cstheme="minorEastAsia"/>
          <w:spacing w:val="15"/>
          <w:sz w:val="30"/>
          <w:szCs w:val="30"/>
          <w:shd w:val="clear" w:color="auto" w:fill="FFFFFF"/>
        </w:rPr>
        <w:t>。基于函评返回的统计成绩，遴选</w:t>
      </w:r>
      <w:r>
        <w:rPr>
          <w:rFonts w:hint="eastAsia" w:asciiTheme="minorEastAsia" w:hAnsiTheme="minorEastAsia" w:cstheme="minorEastAsia"/>
          <w:spacing w:val="15"/>
          <w:sz w:val="30"/>
          <w:szCs w:val="30"/>
          <w:shd w:val="clear" w:color="auto" w:fill="FFFFFF"/>
          <w:lang w:eastAsia="zh-CN"/>
        </w:rPr>
        <w:t>确定终评项目，</w:t>
      </w:r>
      <w:r>
        <w:rPr>
          <w:rFonts w:hint="eastAsia" w:asciiTheme="minorEastAsia" w:hAnsiTheme="minorEastAsia" w:eastAsiaTheme="minorEastAsia" w:cstheme="minorEastAsia"/>
          <w:spacing w:val="15"/>
          <w:sz w:val="30"/>
          <w:szCs w:val="30"/>
          <w:shd w:val="clear" w:color="auto" w:fill="FFFFFF"/>
        </w:rPr>
        <w:t>以打分排序产生</w:t>
      </w:r>
      <w:r>
        <w:rPr>
          <w:rFonts w:hint="eastAsia" w:asciiTheme="minorEastAsia" w:hAnsiTheme="minorEastAsia" w:cstheme="minorEastAsia"/>
          <w:spacing w:val="15"/>
          <w:sz w:val="30"/>
          <w:szCs w:val="30"/>
          <w:shd w:val="clear" w:color="auto" w:fill="FFFFFF"/>
          <w:lang w:eastAsia="zh-CN"/>
        </w:rPr>
        <w:t>评审</w:t>
      </w:r>
      <w:r>
        <w:rPr>
          <w:rFonts w:hint="eastAsia" w:asciiTheme="minorEastAsia" w:hAnsiTheme="minorEastAsia" w:eastAsiaTheme="minorEastAsia" w:cstheme="minorEastAsia"/>
          <w:spacing w:val="15"/>
          <w:sz w:val="30"/>
          <w:szCs w:val="30"/>
          <w:shd w:val="clear" w:color="auto" w:fill="FFFFFF"/>
        </w:rPr>
        <w:t>结果</w:t>
      </w:r>
      <w:r>
        <w:rPr>
          <w:rFonts w:hint="eastAsia" w:asciiTheme="minorEastAsia" w:hAnsiTheme="minorEastAsia" w:cstheme="minorEastAsia"/>
          <w:spacing w:val="15"/>
          <w:sz w:val="30"/>
          <w:szCs w:val="30"/>
          <w:shd w:val="clear" w:color="auto" w:fill="FFFFFF"/>
          <w:lang w:eastAsia="zh-CN"/>
        </w:rPr>
        <w:t>。</w:t>
      </w:r>
    </w:p>
    <w:p>
      <w:pPr>
        <w:pStyle w:val="3"/>
        <w:widowControl/>
        <w:numPr>
          <w:ilvl w:val="0"/>
          <w:numId w:val="17"/>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cstheme="minorEastAsia"/>
          <w:spacing w:val="15"/>
          <w:sz w:val="30"/>
          <w:szCs w:val="30"/>
          <w:shd w:val="clear" w:color="auto" w:fill="FFFFFF"/>
          <w:lang w:eastAsia="zh-CN"/>
        </w:rPr>
        <w:t>奖项评审结果由</w:t>
      </w:r>
      <w:r>
        <w:rPr>
          <w:rFonts w:hint="eastAsia" w:asciiTheme="minorEastAsia" w:hAnsiTheme="minorEastAsia" w:eastAsiaTheme="minorEastAsia" w:cstheme="minorEastAsia"/>
          <w:sz w:val="30"/>
          <w:szCs w:val="30"/>
        </w:rPr>
        <w:t>专业函评、评审委员会</w:t>
      </w:r>
      <w:r>
        <w:rPr>
          <w:rFonts w:hint="eastAsia" w:asciiTheme="minorEastAsia" w:hAnsiTheme="minorEastAsia" w:cstheme="minorEastAsia"/>
          <w:sz w:val="30"/>
          <w:szCs w:val="30"/>
          <w:lang w:eastAsia="zh-CN"/>
        </w:rPr>
        <w:t>终</w:t>
      </w:r>
      <w:r>
        <w:rPr>
          <w:rFonts w:hint="eastAsia" w:asciiTheme="minorEastAsia" w:hAnsiTheme="minorEastAsia" w:eastAsiaTheme="minorEastAsia" w:cstheme="minorEastAsia"/>
          <w:sz w:val="30"/>
          <w:szCs w:val="30"/>
        </w:rPr>
        <w:t>评</w:t>
      </w:r>
      <w:r>
        <w:rPr>
          <w:rFonts w:hint="eastAsia" w:asciiTheme="minorEastAsia" w:hAnsiTheme="minorEastAsia" w:cstheme="minorEastAsia"/>
          <w:sz w:val="30"/>
          <w:szCs w:val="30"/>
          <w:lang w:eastAsia="zh-CN"/>
        </w:rPr>
        <w:t>分数相加得出，其中，</w:t>
      </w:r>
      <w:r>
        <w:rPr>
          <w:rFonts w:hint="eastAsia" w:asciiTheme="minorEastAsia" w:hAnsiTheme="minorEastAsia" w:eastAsiaTheme="minorEastAsia" w:cstheme="minorEastAsia"/>
          <w:sz w:val="30"/>
          <w:szCs w:val="30"/>
        </w:rPr>
        <w:t>专业函评</w:t>
      </w:r>
      <w:r>
        <w:rPr>
          <w:rFonts w:hint="eastAsia" w:asciiTheme="minorEastAsia" w:hAnsiTheme="minorEastAsia" w:cstheme="minorEastAsia"/>
          <w:sz w:val="30"/>
          <w:szCs w:val="30"/>
          <w:lang w:eastAsia="zh-CN"/>
        </w:rPr>
        <w:t>分数占比</w:t>
      </w:r>
      <w:r>
        <w:rPr>
          <w:rFonts w:hint="eastAsia" w:asciiTheme="minorEastAsia" w:hAnsiTheme="minorEastAsia" w:cstheme="minorEastAsia"/>
          <w:sz w:val="30"/>
          <w:szCs w:val="30"/>
          <w:lang w:val="en-US" w:eastAsia="zh-CN"/>
        </w:rPr>
        <w:t>50%，</w:t>
      </w:r>
      <w:r>
        <w:rPr>
          <w:rFonts w:hint="eastAsia" w:asciiTheme="minorEastAsia" w:hAnsiTheme="minorEastAsia" w:eastAsiaTheme="minorEastAsia" w:cstheme="minorEastAsia"/>
          <w:sz w:val="30"/>
          <w:szCs w:val="30"/>
        </w:rPr>
        <w:t>评审委员会</w:t>
      </w:r>
      <w:r>
        <w:rPr>
          <w:rFonts w:hint="eastAsia" w:asciiTheme="minorEastAsia" w:hAnsiTheme="minorEastAsia" w:cstheme="minorEastAsia"/>
          <w:sz w:val="30"/>
          <w:szCs w:val="30"/>
          <w:lang w:eastAsia="zh-CN"/>
        </w:rPr>
        <w:t>终</w:t>
      </w:r>
      <w:r>
        <w:rPr>
          <w:rFonts w:hint="eastAsia" w:asciiTheme="minorEastAsia" w:hAnsiTheme="minorEastAsia" w:eastAsiaTheme="minorEastAsia" w:cstheme="minorEastAsia"/>
          <w:sz w:val="30"/>
          <w:szCs w:val="30"/>
        </w:rPr>
        <w:t>评</w:t>
      </w:r>
      <w:r>
        <w:rPr>
          <w:rFonts w:hint="eastAsia" w:asciiTheme="minorEastAsia" w:hAnsiTheme="minorEastAsia" w:cstheme="minorEastAsia"/>
          <w:sz w:val="30"/>
          <w:szCs w:val="30"/>
          <w:lang w:eastAsia="zh-CN"/>
        </w:rPr>
        <w:t>分数占比</w:t>
      </w:r>
      <w:r>
        <w:rPr>
          <w:rFonts w:hint="eastAsia" w:asciiTheme="minorEastAsia" w:hAnsiTheme="minorEastAsia" w:cstheme="minorEastAsia"/>
          <w:sz w:val="30"/>
          <w:szCs w:val="30"/>
          <w:lang w:val="en-US" w:eastAsia="zh-CN"/>
        </w:rPr>
        <w:t>50%。</w:t>
      </w:r>
    </w:p>
    <w:p>
      <w:pPr>
        <w:pStyle w:val="3"/>
        <w:widowControl/>
        <w:numPr>
          <w:ilvl w:val="0"/>
          <w:numId w:val="17"/>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pacing w:val="15"/>
          <w:sz w:val="30"/>
          <w:szCs w:val="30"/>
          <w:shd w:val="clear" w:color="auto" w:fill="FFFFFF"/>
        </w:rPr>
        <w:t>评审委员会的评审表决应当符合奖励条例规定，表决结果方才有效；</w:t>
      </w:r>
    </w:p>
    <w:p>
      <w:pPr>
        <w:pStyle w:val="3"/>
        <w:widowControl/>
        <w:numPr>
          <w:ilvl w:val="0"/>
          <w:numId w:val="17"/>
        </w:numPr>
        <w:tabs>
          <w:tab w:val="left" w:pos="1418"/>
        </w:tabs>
        <w:spacing w:beforeAutospacing="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参评奖项的成果完成人不得担任当年评审专家委员；</w:t>
      </w:r>
    </w:p>
    <w:p>
      <w:pPr>
        <w:pStyle w:val="3"/>
        <w:widowControl/>
        <w:numPr>
          <w:ilvl w:val="0"/>
          <w:numId w:val="17"/>
        </w:numPr>
        <w:tabs>
          <w:tab w:val="left" w:pos="1418"/>
        </w:tabs>
        <w:spacing w:beforeAutospacing="0" w:after="150" w:afterAutospacing="0" w:line="560" w:lineRule="exact"/>
        <w:ind w:left="0" w:right="147" w:firstLine="420"/>
        <w:jc w:val="both"/>
        <w:rPr>
          <w:rFonts w:hint="eastAsia" w:asciiTheme="minorEastAsia" w:hAnsiTheme="minorEastAsia" w:eastAsiaTheme="minorEastAsia" w:cstheme="minorEastAsia"/>
          <w:spacing w:val="15"/>
          <w:sz w:val="30"/>
          <w:szCs w:val="30"/>
          <w:shd w:val="clear" w:color="auto" w:fill="FFFFFF"/>
        </w:rPr>
      </w:pPr>
      <w:r>
        <w:rPr>
          <w:rFonts w:hint="eastAsia" w:asciiTheme="minorEastAsia" w:hAnsiTheme="minorEastAsia" w:eastAsiaTheme="minorEastAsia" w:cstheme="minorEastAsia"/>
          <w:spacing w:val="15"/>
          <w:sz w:val="30"/>
          <w:szCs w:val="30"/>
          <w:shd w:val="clear" w:color="auto" w:fill="FFFFFF"/>
        </w:rPr>
        <w:t>各评审专家委员和奖励办公室工作人员应当对成果完成人和成果完成单位所完成项目的技术内容、知识产权及评审情况严格保密，不得擅自泄露评审信息，凡造成严重后果，将保留追究当事人相关违纪责任。</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pacing w:val="15"/>
          <w:sz w:val="30"/>
          <w:szCs w:val="30"/>
          <w:shd w:val="clear" w:color="auto" w:fill="FFFFFF"/>
          <w:lang w:eastAsia="zh-CN"/>
        </w:rPr>
        <w:t>八桂人工智能科学技术奖</w:t>
      </w:r>
      <w:r>
        <w:rPr>
          <w:rFonts w:hint="eastAsia" w:asciiTheme="minorEastAsia" w:hAnsiTheme="minorEastAsia" w:eastAsiaTheme="minorEastAsia" w:cstheme="minorEastAsia"/>
          <w:sz w:val="30"/>
          <w:szCs w:val="30"/>
        </w:rPr>
        <w:t>评审实行回避制度，与被评审的成果完成人、成果完成单位或者项目有利害关系的评审专家应当回避。</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奖励办公室应当在学会官方网站等媒体上公布通过终审评定的</w:t>
      </w:r>
      <w:r>
        <w:rPr>
          <w:rFonts w:hint="eastAsia" w:asciiTheme="minorEastAsia" w:hAnsiTheme="minorEastAsia" w:eastAsiaTheme="minorEastAsia" w:cstheme="minorEastAsia"/>
          <w:spacing w:val="15"/>
          <w:sz w:val="30"/>
          <w:szCs w:val="30"/>
          <w:shd w:val="clear" w:color="auto" w:fill="FFFFFF"/>
          <w:lang w:eastAsia="zh-CN"/>
        </w:rPr>
        <w:t>八桂人工智能自然科学奖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pacing w:val="15"/>
          <w:sz w:val="30"/>
          <w:szCs w:val="30"/>
          <w:shd w:val="clear" w:color="auto" w:fill="FFFFFF"/>
          <w:lang w:eastAsia="zh-CN"/>
        </w:rPr>
        <w:t>八桂人工智能技术发明奖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pacing w:val="15"/>
          <w:sz w:val="30"/>
          <w:szCs w:val="30"/>
          <w:shd w:val="clear" w:color="auto" w:fill="FFFFFF"/>
          <w:lang w:eastAsia="zh-CN"/>
        </w:rPr>
        <w:t>八桂人工智能科技进步奖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pacing w:val="15"/>
          <w:sz w:val="30"/>
          <w:szCs w:val="30"/>
          <w:shd w:val="clear" w:color="auto" w:fill="FFFFFF"/>
          <w:lang w:eastAsia="zh-CN"/>
        </w:rPr>
        <w:t>八桂人工智能优秀科技工作者奖</w:t>
      </w:r>
      <w:r>
        <w:rPr>
          <w:rFonts w:hint="eastAsia" w:asciiTheme="minorEastAsia" w:hAnsiTheme="minorEastAsia" w:eastAsiaTheme="minorEastAsia" w:cstheme="minorEastAsia"/>
          <w:sz w:val="30"/>
          <w:szCs w:val="30"/>
        </w:rPr>
        <w:t>的获奖人、获奖单位及项目。</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推荐专家、成果完成人、成果完成单位及其项目经奖励办公室公告受理后要求退出评审的，由推荐单位（人）以书面方式向奖励办公室提出。经批准退出评审的，同一年度不得再次以相关项目技术内容推荐</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推荐专家、推荐单位如被发现存在本细则规定不得推荐的情形的，不予通过形式审查。</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异议处理</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接受社会及行业的监督。</w:t>
      </w:r>
      <w:r>
        <w:rPr>
          <w:rFonts w:hint="eastAsia" w:asciiTheme="minorEastAsia" w:hAnsiTheme="minorEastAsia" w:eastAsiaTheme="minorEastAsia" w:cstheme="minorEastAsia"/>
          <w:sz w:val="30"/>
          <w:szCs w:val="30"/>
          <w:lang w:eastAsia="zh-CN"/>
        </w:rPr>
        <w:t>八桂人工智能自然科学奖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八桂人工智能技术发明奖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八桂人工智能科技进步奖</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八桂人工智能优秀科技工作者奖</w:t>
      </w:r>
      <w:r>
        <w:rPr>
          <w:rFonts w:hint="eastAsia" w:asciiTheme="minorEastAsia" w:hAnsiTheme="minorEastAsia" w:eastAsiaTheme="minorEastAsia" w:cstheme="minorEastAsia"/>
          <w:sz w:val="30"/>
          <w:szCs w:val="30"/>
        </w:rPr>
        <w:t>的评审工作实行异议制度。</w:t>
      </w:r>
    </w:p>
    <w:p>
      <w:pPr>
        <w:pStyle w:val="3"/>
        <w:widowControl/>
        <w:tabs>
          <w:tab w:val="left" w:pos="0"/>
        </w:tabs>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任何单位或者个人对</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成果完成人、完成单位及其项目的创新性、先进性、实用性及推荐材料真实性等持有异议的，应当在受理项目公布之日起10日内向奖励办公室提出，逾期不予受理。</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提出异议的单位或者个人应当提供书面异议材料，并提供必要的证明文件。</w:t>
      </w:r>
    </w:p>
    <w:p>
      <w:pPr>
        <w:pStyle w:val="3"/>
        <w:widowControl/>
        <w:tabs>
          <w:tab w:val="left" w:pos="0"/>
        </w:tabs>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提出异议的单位、个人应当表明真实身份。个人提出异议的，应当在书面异议材料上签署真实姓名；以单位名义提出异议的，应当加盖本单位公章。以匿名方式提出的异议一般不予受理。</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奖励办公室在接到异议材料后应当向奖励监督委员会报告情况，并协助进行审查，对符合规定并能提供充分证据的异议，应予受理。</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维护异议者的合法权益，奖励监督委员会、奖励办公室、推荐单位及其工作人员和推荐人，以及其他参与异议调查、处理的有关人员应当对异议者的身份予以保密；确实需要公开的，应当事前征求异议者的意见。</w:t>
      </w:r>
    </w:p>
    <w:p>
      <w:pPr>
        <w:pStyle w:val="3"/>
        <w:widowControl/>
        <w:numPr>
          <w:ilvl w:val="2"/>
          <w:numId w:val="2"/>
        </w:numPr>
        <w:shd w:val="clear" w:color="auto" w:fill="FFFFFF"/>
        <w:spacing w:before="150" w:beforeAutospacing="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涉及成果完成人、成果完成单位所完成项目的创新性、先进性、实用性及推荐材料真实性等内容的异议，由奖励办公室负责协调，有关推荐单位或者推荐人协助。推荐单位或者推荐人接到异议通知后，应当在规定的时间内核实异议材料，并将调查、核实情况报送奖励办公室审核。必要时，奖励监督委员会和奖励办公室可以组织专家进行调查，提出处理意见。</w:t>
      </w:r>
    </w:p>
    <w:p>
      <w:pPr>
        <w:pStyle w:val="3"/>
        <w:widowControl/>
        <w:tabs>
          <w:tab w:val="left" w:pos="0"/>
        </w:tabs>
        <w:spacing w:beforeAutospacing="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涉及成果完成人、成果完成单位及其排序的异议，由推荐单位或者推荐人负责协调，提出初步处理意见报送奖励办公室审核。涉及跨部门的异议处理，由奖励办公室负责协调，相关推荐单位或者推荐人协助，其处理程序参照前款规定办理。</w:t>
      </w:r>
    </w:p>
    <w:p>
      <w:pPr>
        <w:pStyle w:val="3"/>
        <w:widowControl/>
        <w:tabs>
          <w:tab w:val="left" w:pos="0"/>
        </w:tabs>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涉及国防、国家安全项目的异议，由有关部门处理，并将处理结果报奖励办公室备案。</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异议处理过程中，涉及异议的任何一方应当积极配合，不得推诿和延误。成果完成人、成果完成单位在规定时间内未按要求提供相关证明材料的，视为承认异议内容；提出异议的单位、个人在规定时间内未按要求提供相关证明材料的，视为放弃异议。</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奖励办公室应当提请奖励监督委员会决定，向奖励工作委员会报告异议核实情况及处理意见，并将决定意见通知异议方和推荐单位、推荐人。</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批准与授奖</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学会理事长办公会对</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励委员会做出的获奖人选、项目及等级的决议进行审核、批准。评选结果将通过奖励通报告知获奖单位、获奖人、</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捐资方。</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奖项由学会颁发证书和奖金，每年颁授奖金总额不设限，依据奖励工作委员会募集的奖金数额合理调整，奖励金额由奖励办公室对捐赠单位（人）和社会公布。</w:t>
      </w:r>
    </w:p>
    <w:p>
      <w:pPr>
        <w:pStyle w:val="3"/>
        <w:widowControl/>
        <w:shd w:val="clear" w:color="auto" w:fill="FFFFFF"/>
        <w:spacing w:beforeAutospacing="0" w:after="150" w:afterAutospacing="0" w:line="560" w:lineRule="exact"/>
        <w:ind w:right="147"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颁奖典礼系列活动及奖金发放原则上须在本年度内完成。</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highlight w:val="none"/>
        </w:rPr>
        <w:t>八桂人工智能自然科学奖、八桂人工智能技术发明奖、八桂人工智能科技进步奖一等奖获奖数量不超过申报项目总和的</w:t>
      </w:r>
      <w:r>
        <w:rPr>
          <w:rFonts w:hint="eastAsia" w:asciiTheme="minorEastAsia" w:hAnsiTheme="minorEastAsia" w:eastAsiaTheme="minorEastAsia" w:cstheme="minorEastAsia"/>
          <w:sz w:val="30"/>
          <w:szCs w:val="30"/>
          <w:highlight w:val="none"/>
          <w:lang w:val="en-US" w:eastAsia="zh-CN"/>
        </w:rPr>
        <w:t>15</w:t>
      </w:r>
      <w:r>
        <w:rPr>
          <w:rFonts w:hint="eastAsia" w:asciiTheme="minorEastAsia" w:hAnsiTheme="minorEastAsia" w:eastAsiaTheme="minorEastAsia" w:cstheme="minorEastAsia"/>
          <w:sz w:val="30"/>
          <w:szCs w:val="30"/>
          <w:highlight w:val="none"/>
        </w:rPr>
        <w:t>%，二等奖获奖数量不超过申报项目总和的</w:t>
      </w:r>
      <w:r>
        <w:rPr>
          <w:rFonts w:hint="eastAsia" w:asciiTheme="minorEastAsia" w:hAnsiTheme="minorEastAsia" w:eastAsiaTheme="minorEastAsia" w:cstheme="minorEastAsia"/>
          <w:sz w:val="30"/>
          <w:szCs w:val="30"/>
          <w:highlight w:val="none"/>
          <w:lang w:val="en-US" w:eastAsia="zh-CN"/>
        </w:rPr>
        <w:t>2</w:t>
      </w:r>
      <w:r>
        <w:rPr>
          <w:rFonts w:hint="eastAsia" w:asciiTheme="minorEastAsia" w:hAnsiTheme="minorEastAsia" w:eastAsiaTheme="minorEastAsia" w:cstheme="minorEastAsia"/>
          <w:sz w:val="30"/>
          <w:szCs w:val="30"/>
          <w:highlight w:val="none"/>
        </w:rPr>
        <w:t>5%，三等奖获奖数量不超过申报项目总和的</w:t>
      </w:r>
      <w:r>
        <w:rPr>
          <w:rFonts w:hint="eastAsia" w:asciiTheme="minorEastAsia" w:hAnsiTheme="minorEastAsia" w:eastAsiaTheme="minorEastAsia" w:cstheme="minorEastAsia"/>
          <w:sz w:val="30"/>
          <w:szCs w:val="30"/>
          <w:highlight w:val="none"/>
          <w:lang w:val="en-US" w:eastAsia="zh-CN"/>
        </w:rPr>
        <w:t>40</w:t>
      </w:r>
      <w:r>
        <w:rPr>
          <w:rFonts w:hint="eastAsia" w:asciiTheme="minorEastAsia" w:hAnsiTheme="minorEastAsia" w:eastAsiaTheme="minorEastAsia" w:cstheme="minorEastAsia"/>
          <w:sz w:val="30"/>
          <w:szCs w:val="30"/>
          <w:highlight w:val="none"/>
        </w:rPr>
        <w:t>%。八桂人工智能优秀科技工作者奖获奖数量不超过对应提名申报项目数的</w:t>
      </w:r>
      <w:r>
        <w:rPr>
          <w:rFonts w:hint="eastAsia" w:asciiTheme="minorEastAsia" w:hAnsiTheme="minorEastAsia" w:eastAsiaTheme="minorEastAsia" w:cstheme="minorEastAsia"/>
          <w:sz w:val="30"/>
          <w:szCs w:val="30"/>
          <w:highlight w:val="none"/>
          <w:lang w:val="en-US" w:eastAsia="zh-CN"/>
        </w:rPr>
        <w:t>4</w:t>
      </w:r>
      <w:r>
        <w:rPr>
          <w:rFonts w:hint="eastAsia" w:asciiTheme="minorEastAsia" w:hAnsiTheme="minorEastAsia" w:eastAsiaTheme="minorEastAsia" w:cstheme="minorEastAsia"/>
          <w:sz w:val="30"/>
          <w:szCs w:val="30"/>
          <w:highlight w:val="none"/>
        </w:rPr>
        <w:t>0%。</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获奖证书由</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励工作委员会签发；获奖证书印有“广西人工智能学会” “</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cstheme="minorEastAsia"/>
          <w:sz w:val="30"/>
          <w:szCs w:val="30"/>
          <w:lang w:eastAsia="zh-CN"/>
        </w:rPr>
        <w:t>励工作委员会</w:t>
      </w:r>
      <w:r>
        <w:rPr>
          <w:rFonts w:hint="eastAsia" w:asciiTheme="minorEastAsia" w:hAnsiTheme="minorEastAsia" w:eastAsiaTheme="minorEastAsia" w:cstheme="minorEastAsia"/>
          <w:sz w:val="30"/>
          <w:szCs w:val="30"/>
        </w:rPr>
        <w:t>”字样或相关印章。</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是授予个人或者组织的荣誉，获奖证书、奖牌可以按照社会力量科学技术奖做科学技术成果权属的评价依据。按照提名推荐广西科学技术奖工作要求，奖励工作委员会每年从已获得</w:t>
      </w:r>
      <w:r>
        <w:rPr>
          <w:rFonts w:hint="eastAsia" w:asciiTheme="minorEastAsia" w:hAnsiTheme="minorEastAsia" w:cstheme="minorEastAsia"/>
          <w:sz w:val="30"/>
          <w:szCs w:val="30"/>
          <w:lang w:eastAsia="zh-CN"/>
        </w:rPr>
        <w:t>八桂</w:t>
      </w:r>
      <w:r>
        <w:rPr>
          <w:rFonts w:hint="eastAsia" w:asciiTheme="minorEastAsia" w:hAnsiTheme="minorEastAsia" w:eastAsiaTheme="minorEastAsia" w:cstheme="minorEastAsia"/>
          <w:sz w:val="30"/>
          <w:szCs w:val="30"/>
        </w:rPr>
        <w:t>人工智能科学技术一等奖的项目中择优遴选出3-5个候选项目，组织提名申报广西科学技术奖。</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监督与处罚</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奖励工作委员会设立的奖励监督委员会负责对</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的推荐、评审和异议处理工作进行监督。</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任何单位和个人发现</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的评审和异议处理工作中存在问题的，可以向评审监督委员会进行举报和投诉。有关方面收到举报或者投诉材料的，应当及时转交奖励工作委员会。</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对奖励办公室和评审委员会在评审活动中违反《</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励条例》规定的个人，可以视情况建议有关方面给予责令改正、警告、通报批评、取消参加评审活动等处理。同时建议其所在单位或主管部门给予相应的处分。</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励实行评审信誉制度。奖励办公室对参加评审活动的专家学者建立信誉档案，信誉记录作为担任</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评审委员会委员和智库专家的重要依据。</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监督委员会对评审活动进行经常性监督检查，对在评审活动中违反奖励条例及本细则有关规定的单位和个人，将按照不同情况建议有关方面给予相应的处理。</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对通过剽窃、侵夺他人科学技术成果，弄虚作假或者其他不正当手段谋取</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单位和个人，尚未授奖的，由奖励工作委员会取消其当年评审资格；已经授奖的，经奖励工作委员会审核，报学会常务理事会批准后撤销奖励，追回奖金，并公开通报。情节严重者，取消其三年期限内或者终身申报</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的资格。</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申报单位和个人提供虚假数据、材料，协助申报单位和个人骗取</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的，由学会通报批评；情节严重的，暂停或者取消其申报资格。</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参与</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评审工作的专家在评审活动中违反评审行为准则和相关规定的，由学会视情况给予责令改正、记录不良信誉、警告、通报批评、解除聘任或者取消资格等处理。</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对</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获奖项目的宣传应当客观、准确，不得以夸大、模糊宣传误导公众。获奖成果的应用不得损害国家利益、社会安全和人民健康。对违反前款规定，产生严重后果的，应依法给予相应的处理。</w:t>
      </w:r>
    </w:p>
    <w:p>
      <w:pPr>
        <w:numPr>
          <w:ilvl w:val="0"/>
          <w:numId w:val="1"/>
        </w:numPr>
        <w:spacing w:before="156" w:beforeLines="50" w:after="156" w:afterLines="50" w:line="560" w:lineRule="exact"/>
        <w:ind w:firstLine="0"/>
        <w:jc w:val="center"/>
        <w:outlineLvl w:val="1"/>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kern w:val="0"/>
          <w:sz w:val="30"/>
          <w:szCs w:val="30"/>
        </w:rPr>
        <w:t>附则</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的推荐、评审、授奖的日常办公及经费管理，按照奖励办公室自筹资金的实际情况执行。</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奖励办公室每年组织学术报告会、研讨会等系列活动，邀请专家及获奖代表介绍其学术成就和相关学科领域的研究进展，并在学会官网、微信公众号设置专栏推荐发布。</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积极与自治区政府共建</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评选基地，奖励办公室每年组织</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颁奖典礼暨广西人工智能年会等系列活动，邀请颁奖嘉宾、获奖专家及学术同行参加，扩大</w:t>
      </w:r>
      <w:r>
        <w:rPr>
          <w:rFonts w:hint="eastAsia" w:asciiTheme="minorEastAsia" w:hAnsiTheme="minorEastAsia" w:eastAsiaTheme="minorEastAsia" w:cstheme="minorEastAsia"/>
          <w:sz w:val="30"/>
          <w:szCs w:val="30"/>
          <w:lang w:eastAsia="zh-CN"/>
        </w:rPr>
        <w:t>八桂人工智能科学技术奖</w:t>
      </w:r>
      <w:r>
        <w:rPr>
          <w:rFonts w:hint="eastAsia" w:asciiTheme="minorEastAsia" w:hAnsiTheme="minorEastAsia" w:eastAsiaTheme="minorEastAsia" w:cstheme="minorEastAsia"/>
          <w:sz w:val="30"/>
          <w:szCs w:val="30"/>
        </w:rPr>
        <w:t>品牌影响力。</w:t>
      </w:r>
    </w:p>
    <w:p>
      <w:pPr>
        <w:pStyle w:val="3"/>
        <w:widowControl/>
        <w:numPr>
          <w:ilvl w:val="2"/>
          <w:numId w:val="2"/>
        </w:numPr>
        <w:shd w:val="clear" w:color="auto" w:fill="FFFFFF"/>
        <w:spacing w:before="150" w:beforeAutospacing="0" w:after="150" w:afterAutospacing="0" w:line="560" w:lineRule="exact"/>
        <w:ind w:right="147" w:firstLine="403"/>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本实施细则由理事长办公会负责解释，由学会秘书处制定，学会常务理事会审议通过，自公布之日起施行。</w:t>
      </w:r>
    </w:p>
    <w:sectPr>
      <w:pgSz w:w="11906" w:h="16838"/>
      <w:pgMar w:top="1440" w:right="1140" w:bottom="1440" w:left="12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E6D5A"/>
    <w:multiLevelType w:val="multilevel"/>
    <w:tmpl w:val="814E6D5A"/>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tabs>
          <w:tab w:val="left" w:pos="0"/>
        </w:tabs>
        <w:ind w:left="0" w:firstLine="402"/>
      </w:pPr>
      <w:rPr>
        <w:rFonts w:hint="eastAsia"/>
        <w:b/>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03754690"/>
    <w:multiLevelType w:val="multilevel"/>
    <w:tmpl w:val="03754690"/>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05960BB0"/>
    <w:multiLevelType w:val="multilevel"/>
    <w:tmpl w:val="05960BB0"/>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09CB5BED"/>
    <w:multiLevelType w:val="multilevel"/>
    <w:tmpl w:val="09CB5BED"/>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0D2E3CE4"/>
    <w:multiLevelType w:val="multilevel"/>
    <w:tmpl w:val="0D2E3CE4"/>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1FAB1DE5"/>
    <w:multiLevelType w:val="multilevel"/>
    <w:tmpl w:val="1FAB1DE5"/>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25EE6545"/>
    <w:multiLevelType w:val="multilevel"/>
    <w:tmpl w:val="25EE6545"/>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267C2678"/>
    <w:multiLevelType w:val="multilevel"/>
    <w:tmpl w:val="267C2678"/>
    <w:lvl w:ilvl="0" w:tentative="0">
      <w:start w:val="1"/>
      <w:numFmt w:val="chineseCountingThousand"/>
      <w:lvlText w:val="第%1节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317DD4"/>
    <w:multiLevelType w:val="multilevel"/>
    <w:tmpl w:val="2D317DD4"/>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37310D78"/>
    <w:multiLevelType w:val="multilevel"/>
    <w:tmpl w:val="37310D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79A4758"/>
    <w:multiLevelType w:val="multilevel"/>
    <w:tmpl w:val="379A4758"/>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3ECE2112"/>
    <w:multiLevelType w:val="multilevel"/>
    <w:tmpl w:val="3ECE2112"/>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42C842DF"/>
    <w:multiLevelType w:val="multilevel"/>
    <w:tmpl w:val="42C842DF"/>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7414E4D"/>
    <w:multiLevelType w:val="multilevel"/>
    <w:tmpl w:val="47414E4D"/>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555C7ADA"/>
    <w:multiLevelType w:val="multilevel"/>
    <w:tmpl w:val="555C7ADA"/>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724E7788"/>
    <w:multiLevelType w:val="multilevel"/>
    <w:tmpl w:val="724E7788"/>
    <w:lvl w:ilvl="0" w:tentative="0">
      <w:start w:val="1"/>
      <w:numFmt w:val="japaneseCounting"/>
      <w:lvlText w:val="（%1）"/>
      <w:lvlJc w:val="left"/>
      <w:pPr>
        <w:ind w:left="1680" w:hanging="1080"/>
      </w:pPr>
      <w:rPr>
        <w:rFonts w:hint="default" w:cs="Times New Roman" w:asciiTheme="minorHAnsi" w:hAnsiTheme="minorHAnsi"/>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7FFC2A52"/>
    <w:multiLevelType w:val="multilevel"/>
    <w:tmpl w:val="7FFC2A52"/>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6"/>
  </w:num>
  <w:num w:numId="2">
    <w:abstractNumId w:val="0"/>
  </w:num>
  <w:num w:numId="3">
    <w:abstractNumId w:val="13"/>
  </w:num>
  <w:num w:numId="4">
    <w:abstractNumId w:val="7"/>
  </w:num>
  <w:num w:numId="5">
    <w:abstractNumId w:val="10"/>
  </w:num>
  <w:num w:numId="6">
    <w:abstractNumId w:val="11"/>
  </w:num>
  <w:num w:numId="7">
    <w:abstractNumId w:val="2"/>
  </w:num>
  <w:num w:numId="8">
    <w:abstractNumId w:val="15"/>
  </w:num>
  <w:num w:numId="9">
    <w:abstractNumId w:val="4"/>
  </w:num>
  <w:num w:numId="10">
    <w:abstractNumId w:val="14"/>
  </w:num>
  <w:num w:numId="11">
    <w:abstractNumId w:val="6"/>
  </w:num>
  <w:num w:numId="12">
    <w:abstractNumId w:val="8"/>
  </w:num>
  <w:num w:numId="13">
    <w:abstractNumId w:val="1"/>
  </w:num>
  <w:num w:numId="14">
    <w:abstractNumId w:val="12"/>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0"/>
    <w:rsid w:val="00000F1E"/>
    <w:rsid w:val="00003860"/>
    <w:rsid w:val="00032EFB"/>
    <w:rsid w:val="000545CE"/>
    <w:rsid w:val="000552B5"/>
    <w:rsid w:val="00060236"/>
    <w:rsid w:val="000704B0"/>
    <w:rsid w:val="000764F3"/>
    <w:rsid w:val="00084170"/>
    <w:rsid w:val="000B2C08"/>
    <w:rsid w:val="000B5856"/>
    <w:rsid w:val="000D2C9B"/>
    <w:rsid w:val="000E22D2"/>
    <w:rsid w:val="001026FF"/>
    <w:rsid w:val="001126F6"/>
    <w:rsid w:val="00125A16"/>
    <w:rsid w:val="001371E5"/>
    <w:rsid w:val="00140533"/>
    <w:rsid w:val="00164409"/>
    <w:rsid w:val="001B0549"/>
    <w:rsid w:val="00236FA6"/>
    <w:rsid w:val="0024098A"/>
    <w:rsid w:val="002504B7"/>
    <w:rsid w:val="002C517D"/>
    <w:rsid w:val="002D12A4"/>
    <w:rsid w:val="002D1892"/>
    <w:rsid w:val="002D5589"/>
    <w:rsid w:val="002D745E"/>
    <w:rsid w:val="002E79E6"/>
    <w:rsid w:val="00315C9A"/>
    <w:rsid w:val="00354B42"/>
    <w:rsid w:val="0035663E"/>
    <w:rsid w:val="00364A6E"/>
    <w:rsid w:val="003677E4"/>
    <w:rsid w:val="0037265A"/>
    <w:rsid w:val="0037571A"/>
    <w:rsid w:val="00392F31"/>
    <w:rsid w:val="00396206"/>
    <w:rsid w:val="003A647C"/>
    <w:rsid w:val="003A65BB"/>
    <w:rsid w:val="003A7649"/>
    <w:rsid w:val="003B4E19"/>
    <w:rsid w:val="003C098E"/>
    <w:rsid w:val="003D0BE5"/>
    <w:rsid w:val="003E681B"/>
    <w:rsid w:val="004009F8"/>
    <w:rsid w:val="004019B9"/>
    <w:rsid w:val="00462D96"/>
    <w:rsid w:val="004A198E"/>
    <w:rsid w:val="004A517C"/>
    <w:rsid w:val="004B6C47"/>
    <w:rsid w:val="004B7683"/>
    <w:rsid w:val="004D15CB"/>
    <w:rsid w:val="004E039F"/>
    <w:rsid w:val="004F692F"/>
    <w:rsid w:val="00500C0D"/>
    <w:rsid w:val="005061E0"/>
    <w:rsid w:val="00527A5A"/>
    <w:rsid w:val="0053040B"/>
    <w:rsid w:val="00550167"/>
    <w:rsid w:val="00553F58"/>
    <w:rsid w:val="00567397"/>
    <w:rsid w:val="005A5662"/>
    <w:rsid w:val="005E0BA3"/>
    <w:rsid w:val="005F0298"/>
    <w:rsid w:val="00605ABD"/>
    <w:rsid w:val="0061154D"/>
    <w:rsid w:val="00613BD3"/>
    <w:rsid w:val="006275F4"/>
    <w:rsid w:val="00627821"/>
    <w:rsid w:val="00630A02"/>
    <w:rsid w:val="006336F3"/>
    <w:rsid w:val="00653D88"/>
    <w:rsid w:val="0067023C"/>
    <w:rsid w:val="006721D6"/>
    <w:rsid w:val="00695673"/>
    <w:rsid w:val="006A5A08"/>
    <w:rsid w:val="006C256D"/>
    <w:rsid w:val="006D731B"/>
    <w:rsid w:val="006E25AA"/>
    <w:rsid w:val="006E325E"/>
    <w:rsid w:val="00700AB1"/>
    <w:rsid w:val="00710462"/>
    <w:rsid w:val="0071204D"/>
    <w:rsid w:val="00717B4D"/>
    <w:rsid w:val="00722F7C"/>
    <w:rsid w:val="0075015A"/>
    <w:rsid w:val="00776CA0"/>
    <w:rsid w:val="007A019C"/>
    <w:rsid w:val="007B7A33"/>
    <w:rsid w:val="007C4727"/>
    <w:rsid w:val="007D1913"/>
    <w:rsid w:val="007F3671"/>
    <w:rsid w:val="00814160"/>
    <w:rsid w:val="00867FE2"/>
    <w:rsid w:val="00882EBA"/>
    <w:rsid w:val="00891061"/>
    <w:rsid w:val="0089258B"/>
    <w:rsid w:val="008A10ED"/>
    <w:rsid w:val="008B2157"/>
    <w:rsid w:val="008C3946"/>
    <w:rsid w:val="008D7971"/>
    <w:rsid w:val="008F1F53"/>
    <w:rsid w:val="00907DAF"/>
    <w:rsid w:val="009174B2"/>
    <w:rsid w:val="00927089"/>
    <w:rsid w:val="00941516"/>
    <w:rsid w:val="009540E5"/>
    <w:rsid w:val="009704D9"/>
    <w:rsid w:val="00977295"/>
    <w:rsid w:val="00982C1F"/>
    <w:rsid w:val="00986E40"/>
    <w:rsid w:val="009A7193"/>
    <w:rsid w:val="009B3AF9"/>
    <w:rsid w:val="009D77DB"/>
    <w:rsid w:val="009F1D01"/>
    <w:rsid w:val="009F2B89"/>
    <w:rsid w:val="00A0325C"/>
    <w:rsid w:val="00A0767A"/>
    <w:rsid w:val="00A11147"/>
    <w:rsid w:val="00A17CE2"/>
    <w:rsid w:val="00A356A1"/>
    <w:rsid w:val="00A45E72"/>
    <w:rsid w:val="00A752CD"/>
    <w:rsid w:val="00A90A73"/>
    <w:rsid w:val="00AA224B"/>
    <w:rsid w:val="00AA36AB"/>
    <w:rsid w:val="00AA4091"/>
    <w:rsid w:val="00AA5DA4"/>
    <w:rsid w:val="00AE1F58"/>
    <w:rsid w:val="00AF174A"/>
    <w:rsid w:val="00B04F7B"/>
    <w:rsid w:val="00B13A1E"/>
    <w:rsid w:val="00B31C69"/>
    <w:rsid w:val="00B6123F"/>
    <w:rsid w:val="00B67FED"/>
    <w:rsid w:val="00B87078"/>
    <w:rsid w:val="00B9192F"/>
    <w:rsid w:val="00B92546"/>
    <w:rsid w:val="00BA0D5B"/>
    <w:rsid w:val="00BB1112"/>
    <w:rsid w:val="00BD73E2"/>
    <w:rsid w:val="00BE121D"/>
    <w:rsid w:val="00C06B44"/>
    <w:rsid w:val="00C442E2"/>
    <w:rsid w:val="00C508C9"/>
    <w:rsid w:val="00C655A8"/>
    <w:rsid w:val="00C7090E"/>
    <w:rsid w:val="00C80D07"/>
    <w:rsid w:val="00C95071"/>
    <w:rsid w:val="00CB1A61"/>
    <w:rsid w:val="00CD6855"/>
    <w:rsid w:val="00CD7886"/>
    <w:rsid w:val="00CF28A7"/>
    <w:rsid w:val="00CF620E"/>
    <w:rsid w:val="00CF6B88"/>
    <w:rsid w:val="00D05D10"/>
    <w:rsid w:val="00D10549"/>
    <w:rsid w:val="00D360F6"/>
    <w:rsid w:val="00D521CC"/>
    <w:rsid w:val="00D57C78"/>
    <w:rsid w:val="00D767A7"/>
    <w:rsid w:val="00D81EFC"/>
    <w:rsid w:val="00D84BD8"/>
    <w:rsid w:val="00D875DF"/>
    <w:rsid w:val="00DB6E20"/>
    <w:rsid w:val="00DF53C1"/>
    <w:rsid w:val="00E1423C"/>
    <w:rsid w:val="00E4166D"/>
    <w:rsid w:val="00E466E1"/>
    <w:rsid w:val="00E524B6"/>
    <w:rsid w:val="00E538B8"/>
    <w:rsid w:val="00E75477"/>
    <w:rsid w:val="00E80D0F"/>
    <w:rsid w:val="00EB1B83"/>
    <w:rsid w:val="00ED04C5"/>
    <w:rsid w:val="00EE755C"/>
    <w:rsid w:val="00F220C5"/>
    <w:rsid w:val="00F25EB7"/>
    <w:rsid w:val="00F36E36"/>
    <w:rsid w:val="00F51BAC"/>
    <w:rsid w:val="00F537D5"/>
    <w:rsid w:val="00F86ABD"/>
    <w:rsid w:val="00F907CA"/>
    <w:rsid w:val="00F97378"/>
    <w:rsid w:val="00FA592D"/>
    <w:rsid w:val="00FA7641"/>
    <w:rsid w:val="00FB53BC"/>
    <w:rsid w:val="00FD4328"/>
    <w:rsid w:val="00FE431A"/>
    <w:rsid w:val="00FE54DA"/>
    <w:rsid w:val="03D36754"/>
    <w:rsid w:val="05733B20"/>
    <w:rsid w:val="06275509"/>
    <w:rsid w:val="065F629D"/>
    <w:rsid w:val="074714B7"/>
    <w:rsid w:val="07765568"/>
    <w:rsid w:val="07C24C1F"/>
    <w:rsid w:val="09851628"/>
    <w:rsid w:val="09B476A6"/>
    <w:rsid w:val="09C30807"/>
    <w:rsid w:val="0A737ABA"/>
    <w:rsid w:val="0BA5578F"/>
    <w:rsid w:val="0F7D2C92"/>
    <w:rsid w:val="0FBB5CF3"/>
    <w:rsid w:val="10974D39"/>
    <w:rsid w:val="11137FBA"/>
    <w:rsid w:val="11157887"/>
    <w:rsid w:val="11317758"/>
    <w:rsid w:val="12DB4262"/>
    <w:rsid w:val="14C54590"/>
    <w:rsid w:val="14D00648"/>
    <w:rsid w:val="15E55A85"/>
    <w:rsid w:val="1A2D5F2E"/>
    <w:rsid w:val="1B0D6C22"/>
    <w:rsid w:val="1B5E62D8"/>
    <w:rsid w:val="1BD6124D"/>
    <w:rsid w:val="1C6F59AB"/>
    <w:rsid w:val="1CCC7B6E"/>
    <w:rsid w:val="1D782F09"/>
    <w:rsid w:val="20756666"/>
    <w:rsid w:val="22CD6054"/>
    <w:rsid w:val="23202518"/>
    <w:rsid w:val="23B863DD"/>
    <w:rsid w:val="244B64F0"/>
    <w:rsid w:val="24980E0D"/>
    <w:rsid w:val="24EB39BE"/>
    <w:rsid w:val="25B23894"/>
    <w:rsid w:val="25B60BD9"/>
    <w:rsid w:val="27B35241"/>
    <w:rsid w:val="287743BF"/>
    <w:rsid w:val="28E87F89"/>
    <w:rsid w:val="29E46B66"/>
    <w:rsid w:val="2B2E34E5"/>
    <w:rsid w:val="2B424CF6"/>
    <w:rsid w:val="30FE1006"/>
    <w:rsid w:val="318F0077"/>
    <w:rsid w:val="3270007A"/>
    <w:rsid w:val="35890CFE"/>
    <w:rsid w:val="35A30C97"/>
    <w:rsid w:val="38626C85"/>
    <w:rsid w:val="3C827481"/>
    <w:rsid w:val="3D013D4F"/>
    <w:rsid w:val="3D3E1444"/>
    <w:rsid w:val="3DB65122"/>
    <w:rsid w:val="40CE1804"/>
    <w:rsid w:val="421B7BB1"/>
    <w:rsid w:val="424463D1"/>
    <w:rsid w:val="447225AB"/>
    <w:rsid w:val="448D441A"/>
    <w:rsid w:val="44E14F36"/>
    <w:rsid w:val="454A0261"/>
    <w:rsid w:val="46623425"/>
    <w:rsid w:val="46FF6A58"/>
    <w:rsid w:val="491B66EA"/>
    <w:rsid w:val="491D2F9E"/>
    <w:rsid w:val="496F1096"/>
    <w:rsid w:val="4A3A7A9D"/>
    <w:rsid w:val="50116752"/>
    <w:rsid w:val="50144677"/>
    <w:rsid w:val="50527B0C"/>
    <w:rsid w:val="506A21DA"/>
    <w:rsid w:val="50DF10CB"/>
    <w:rsid w:val="5129567D"/>
    <w:rsid w:val="513F7389"/>
    <w:rsid w:val="52197FEB"/>
    <w:rsid w:val="538A402C"/>
    <w:rsid w:val="54CC2433"/>
    <w:rsid w:val="55312F4A"/>
    <w:rsid w:val="571811EE"/>
    <w:rsid w:val="58D61E73"/>
    <w:rsid w:val="58DA5478"/>
    <w:rsid w:val="5929681E"/>
    <w:rsid w:val="5A0318FD"/>
    <w:rsid w:val="5ACB6160"/>
    <w:rsid w:val="5D0700E6"/>
    <w:rsid w:val="5D6338C7"/>
    <w:rsid w:val="5DFA4A11"/>
    <w:rsid w:val="5E5B0C03"/>
    <w:rsid w:val="5FBF0F5B"/>
    <w:rsid w:val="61361B8A"/>
    <w:rsid w:val="61BB0C25"/>
    <w:rsid w:val="657E2F4C"/>
    <w:rsid w:val="668A3711"/>
    <w:rsid w:val="67441EA6"/>
    <w:rsid w:val="675B1D51"/>
    <w:rsid w:val="69D70FA6"/>
    <w:rsid w:val="6A613129"/>
    <w:rsid w:val="6ABF03B7"/>
    <w:rsid w:val="6B8F530D"/>
    <w:rsid w:val="6C5B2580"/>
    <w:rsid w:val="6C704233"/>
    <w:rsid w:val="6D403D0E"/>
    <w:rsid w:val="6D6E187B"/>
    <w:rsid w:val="6D8C55AD"/>
    <w:rsid w:val="6DEC0DFC"/>
    <w:rsid w:val="70864B83"/>
    <w:rsid w:val="70EE386F"/>
    <w:rsid w:val="722A7707"/>
    <w:rsid w:val="72A32FED"/>
    <w:rsid w:val="73530790"/>
    <w:rsid w:val="738E73AE"/>
    <w:rsid w:val="743763AC"/>
    <w:rsid w:val="75E62529"/>
    <w:rsid w:val="76FF5B9C"/>
    <w:rsid w:val="7A6F0050"/>
    <w:rsid w:val="7CDC5D04"/>
    <w:rsid w:val="7E7A3D0D"/>
    <w:rsid w:val="7EBE4AB8"/>
    <w:rsid w:val="7FB5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22"/>
    <w:rPr>
      <w:b/>
    </w:rPr>
  </w:style>
  <w:style w:type="paragraph" w:customStyle="1" w:styleId="7">
    <w:name w:val="正文1"/>
    <w:qFormat/>
    <w:uiPriority w:val="0"/>
    <w:pPr>
      <w:jc w:val="both"/>
    </w:pPr>
    <w:rPr>
      <w:rFonts w:ascii="Times New Roman" w:hAnsi="Times New Roman" w:eastAsia="宋体" w:cs="Times New Roman"/>
      <w:kern w:val="2"/>
      <w:sz w:val="21"/>
      <w:szCs w:val="21"/>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1942</Words>
  <Characters>11072</Characters>
  <Lines>92</Lines>
  <Paragraphs>25</Paragraphs>
  <TotalTime>0</TotalTime>
  <ScaleCrop>false</ScaleCrop>
  <LinksUpToDate>false</LinksUpToDate>
  <CharactersWithSpaces>12989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cp:lastPrinted>2019-01-04T01:24:00Z</cp:lastPrinted>
  <dcterms:modified xsi:type="dcterms:W3CDTF">2020-11-12T06:24:54Z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