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方正黑体_GBK"/>
          <w:sz w:val="32"/>
          <w:szCs w:val="32"/>
        </w:rPr>
      </w:pPr>
      <w:r>
        <w:rPr>
          <w:rFonts w:eastAsia="方正黑体_GBK"/>
          <w:sz w:val="32"/>
          <w:szCs w:val="32"/>
        </w:rPr>
        <w:t>附件3</w:t>
      </w:r>
    </w:p>
    <w:p>
      <w:pPr>
        <w:adjustRightInd w:val="0"/>
        <w:snapToGrid w:val="0"/>
        <w:spacing w:line="590" w:lineRule="exact"/>
        <w:rPr>
          <w:rFonts w:eastAsia="方正小标宋简体"/>
          <w:b/>
          <w:bCs/>
          <w:sz w:val="48"/>
          <w:szCs w:val="48"/>
          <w:u w:color="000000"/>
          <w:lang w:val="zh-TW"/>
        </w:rPr>
      </w:pPr>
    </w:p>
    <w:p>
      <w:pPr>
        <w:adjustRightInd w:val="0"/>
        <w:snapToGrid w:val="0"/>
        <w:spacing w:line="590" w:lineRule="exact"/>
        <w:jc w:val="center"/>
        <w:rPr>
          <w:rFonts w:eastAsia="方正小标宋简体"/>
          <w:bCs/>
          <w:sz w:val="44"/>
          <w:szCs w:val="44"/>
          <w:lang w:val="zh-TW"/>
        </w:rPr>
      </w:pPr>
      <w:bookmarkStart w:id="0" w:name="_Hlk67930010"/>
      <w:r>
        <w:rPr>
          <w:rFonts w:hint="eastAsia" w:eastAsia="方正小标宋简体"/>
          <w:bCs/>
          <w:sz w:val="44"/>
          <w:szCs w:val="44"/>
          <w:lang w:val="zh-TW" w:eastAsia="zh-CN"/>
        </w:rPr>
        <w:t>中国—东盟</w:t>
      </w:r>
      <w:r>
        <w:rPr>
          <w:rFonts w:eastAsia="方正小标宋简体"/>
          <w:bCs/>
          <w:sz w:val="44"/>
          <w:szCs w:val="44"/>
          <w:lang w:val="zh-TW"/>
        </w:rPr>
        <w:t>信息港鲲鹏生态创新中心</w:t>
      </w:r>
    </w:p>
    <w:bookmarkEnd w:id="0"/>
    <w:p>
      <w:pPr>
        <w:adjustRightInd w:val="0"/>
        <w:snapToGrid w:val="0"/>
        <w:spacing w:line="590" w:lineRule="exact"/>
        <w:jc w:val="center"/>
        <w:rPr>
          <w:rFonts w:eastAsia="方正小标宋_GBK"/>
          <w:bCs/>
          <w:sz w:val="44"/>
          <w:szCs w:val="44"/>
          <w:lang w:val="zh-TW" w:eastAsia="zh-TW"/>
        </w:rPr>
      </w:pPr>
      <w:r>
        <w:rPr>
          <w:rFonts w:eastAsia="方正小标宋简体"/>
          <w:bCs/>
          <w:sz w:val="44"/>
          <w:szCs w:val="44"/>
        </w:rPr>
        <w:t>2022年</w:t>
      </w:r>
      <w:r>
        <w:rPr>
          <w:rFonts w:eastAsia="方正小标宋简体"/>
          <w:bCs/>
          <w:sz w:val="44"/>
          <w:szCs w:val="44"/>
          <w:lang w:val="zh-TW" w:eastAsia="zh-TW"/>
        </w:rPr>
        <w:t>专项补贴</w:t>
      </w:r>
      <w:r>
        <w:rPr>
          <w:rFonts w:eastAsia="方正小标宋简体"/>
          <w:bCs/>
          <w:sz w:val="44"/>
          <w:szCs w:val="44"/>
          <w:lang w:val="zh-TW"/>
        </w:rPr>
        <w:t>项目</w:t>
      </w:r>
      <w:r>
        <w:rPr>
          <w:rFonts w:eastAsia="方正小标宋简体"/>
          <w:bCs/>
          <w:sz w:val="44"/>
          <w:szCs w:val="44"/>
          <w:lang w:val="zh-TW" w:eastAsia="zh-TW"/>
        </w:rPr>
        <w:t>申报指南</w:t>
      </w:r>
    </w:p>
    <w:p>
      <w:pPr>
        <w:pStyle w:val="2"/>
      </w:pPr>
    </w:p>
    <w:p>
      <w:pPr>
        <w:pStyle w:val="2"/>
      </w:pPr>
    </w:p>
    <w:p>
      <w:pPr>
        <w:pStyle w:val="2"/>
      </w:pPr>
    </w:p>
    <w:p>
      <w:pPr>
        <w:pStyle w:val="9"/>
        <w:adjustRightInd w:val="0"/>
        <w:snapToGrid w:val="0"/>
        <w:spacing w:line="560" w:lineRule="exact"/>
        <w:ind w:firstLine="640"/>
        <w:rPr>
          <w:rFonts w:ascii="Times New Roman" w:hAnsi="Times New Roman" w:eastAsia="方正黑体_GBK" w:cs="Times New Roman"/>
        </w:rPr>
      </w:pPr>
      <w:r>
        <w:rPr>
          <w:rFonts w:ascii="Times New Roman" w:hAnsi="Times New Roman" w:eastAsia="黑体" w:cs="Times New Roman"/>
          <w:sz w:val="32"/>
          <w:szCs w:val="32"/>
        </w:rPr>
        <w:t>一、支持范围</w:t>
      </w:r>
    </w:p>
    <w:p>
      <w:pPr>
        <w:pStyle w:val="11"/>
        <w:pBdr>
          <w:top w:val="none" w:color="auto" w:sz="0" w:space="0"/>
          <w:left w:val="none" w:color="auto" w:sz="0" w:space="0"/>
          <w:bottom w:val="none" w:color="auto" w:sz="0" w:space="0"/>
          <w:right w:val="none" w:color="auto" w:sz="0" w:space="0"/>
        </w:pBdr>
        <w:adjustRightInd w:val="0"/>
        <w:snapToGrid w:val="0"/>
        <w:spacing w:line="560" w:lineRule="exact"/>
        <w:ind w:firstLine="640" w:firstLineChars="200"/>
        <w:rPr>
          <w:rFonts w:ascii="Times New Roman" w:hAnsi="Times New Roman" w:eastAsia="楷体" w:cs="Times New Roman"/>
          <w:snapToGrid w:val="0"/>
          <w:color w:val="auto"/>
        </w:rPr>
      </w:pPr>
      <w:r>
        <w:rPr>
          <w:rFonts w:ascii="Times New Roman" w:hAnsi="Times New Roman" w:eastAsia="楷体" w:cs="Times New Roman"/>
          <w:snapToGrid w:val="0"/>
          <w:color w:val="auto"/>
        </w:rPr>
        <w:t>（一）鲲鹏生态建设</w:t>
      </w:r>
    </w:p>
    <w:p>
      <w:pPr>
        <w:spacing w:line="560" w:lineRule="exact"/>
        <w:ind w:firstLine="640" w:firstLineChars="200"/>
        <w:rPr>
          <w:rFonts w:eastAsia="仿宋_GB2312"/>
          <w:snapToGrid w:val="0"/>
          <w:sz w:val="32"/>
          <w:szCs w:val="32"/>
          <w:u w:color="000000"/>
          <w:lang w:val="zh-TW" w:eastAsia="zh-TW"/>
        </w:rPr>
      </w:pPr>
      <w:r>
        <w:rPr>
          <w:rFonts w:eastAsia="仿宋_GB2312"/>
          <w:snapToGrid w:val="0"/>
          <w:sz w:val="32"/>
          <w:szCs w:val="32"/>
          <w:u w:color="000000"/>
          <w:lang w:val="zh-TW" w:eastAsia="zh-TW"/>
        </w:rPr>
        <w:t>支持各级党政机关、企事业单位将已有业务系统迁移至鲲鹏软硬件平台，支持软件开发企业将核心软件产品开展鲲鹏适配。支持企业搭建鲲鹏软硬件资源平台，为开展鲲鹏测评、适配、调优、开发提供环境资源。支持企业及各类开发者基于鲲鹏技术体系孵化创新解决方案。支持企业开发各类用于提升鲲鹏开发、测试、迁移、调优效率的工具。优先支持已有业务系统向自治区及各地市鲲鹏信创云、鲲鹏政务云平台进行适配迁移以及其他有明确商用计划的软件产品开展适配。</w:t>
      </w:r>
    </w:p>
    <w:p>
      <w:pPr>
        <w:pStyle w:val="11"/>
        <w:pBdr>
          <w:top w:val="none" w:color="auto" w:sz="0" w:space="0"/>
          <w:left w:val="none" w:color="auto" w:sz="0" w:space="0"/>
          <w:bottom w:val="none" w:color="auto" w:sz="0" w:space="0"/>
          <w:right w:val="none" w:color="auto" w:sz="0" w:space="0"/>
        </w:pBdr>
        <w:adjustRightInd w:val="0"/>
        <w:snapToGrid w:val="0"/>
        <w:spacing w:line="560" w:lineRule="exact"/>
        <w:ind w:firstLine="640" w:firstLineChars="200"/>
        <w:rPr>
          <w:rFonts w:ascii="Times New Roman" w:hAnsi="Times New Roman" w:eastAsia="楷体" w:cs="Times New Roman"/>
          <w:snapToGrid w:val="0"/>
          <w:color w:val="auto"/>
        </w:rPr>
      </w:pPr>
      <w:r>
        <w:rPr>
          <w:rFonts w:ascii="Times New Roman" w:hAnsi="Times New Roman" w:eastAsia="楷体" w:cs="Times New Roman"/>
          <w:snapToGrid w:val="0"/>
          <w:color w:val="auto"/>
        </w:rPr>
        <w:t>（二）鲲鹏示范应用</w:t>
      </w:r>
    </w:p>
    <w:p>
      <w:pPr>
        <w:spacing w:line="560" w:lineRule="exact"/>
        <w:ind w:firstLine="640" w:firstLineChars="200"/>
        <w:rPr>
          <w:rFonts w:eastAsia="仿宋_GB2312"/>
          <w:snapToGrid w:val="0"/>
          <w:sz w:val="32"/>
          <w:szCs w:val="32"/>
          <w:u w:color="000000"/>
          <w:lang w:val="zh-TW" w:eastAsia="zh-TW"/>
        </w:rPr>
      </w:pPr>
      <w:r>
        <w:rPr>
          <w:rFonts w:eastAsia="仿宋_GB2312"/>
          <w:snapToGrid w:val="0"/>
          <w:sz w:val="32"/>
          <w:szCs w:val="32"/>
          <w:u w:color="000000"/>
          <w:lang w:val="zh-TW" w:eastAsia="zh-TW"/>
        </w:rPr>
        <w:t>支持政府、金融、通信、电力、交通、教育、医疗、工业、农业、服务业等领域的企业新建、改造、扩容的信息化项目，推广应用欧拉操作系统、高斯数据库等鲲鹏体系软硬件产品。支持企业在数字化转型中，应用鲲鹏全栈软硬件产品</w:t>
      </w:r>
      <w:r>
        <w:rPr>
          <w:rFonts w:eastAsia="仿宋_GB2312"/>
          <w:color w:val="000000"/>
          <w:sz w:val="32"/>
          <w:szCs w:val="32"/>
          <w:lang w:val="zh-TW" w:eastAsia="zh-TW"/>
        </w:rPr>
        <w:t>，提升数字化基础设施自主可控程度，打造鲲鹏应用标杆。</w:t>
      </w:r>
      <w:r>
        <w:rPr>
          <w:rFonts w:eastAsia="仿宋_GB2312"/>
          <w:color w:val="000000"/>
          <w:sz w:val="32"/>
          <w:szCs w:val="32"/>
          <w:lang w:val="zh-TW"/>
        </w:rPr>
        <w:t>重点支持</w:t>
      </w:r>
      <w:r>
        <w:rPr>
          <w:rFonts w:eastAsia="仿宋_GB2312"/>
          <w:color w:val="000000"/>
          <w:sz w:val="32"/>
          <w:szCs w:val="32"/>
          <w:lang w:val="zh-TW" w:eastAsia="zh-TW"/>
        </w:rPr>
        <w:t>应用5G、人工智能、大数据、分布式、微服务等新技术，</w:t>
      </w:r>
      <w:r>
        <w:rPr>
          <w:rFonts w:eastAsia="仿宋_GB2312"/>
          <w:color w:val="000000"/>
          <w:sz w:val="32"/>
          <w:szCs w:val="32"/>
          <w:lang w:val="zh-TW"/>
        </w:rPr>
        <w:t>在</w:t>
      </w:r>
      <w:r>
        <w:rPr>
          <w:rFonts w:eastAsia="仿宋_GB2312"/>
          <w:color w:val="000000"/>
          <w:sz w:val="32"/>
          <w:szCs w:val="32"/>
          <w:lang w:val="zh-TW" w:eastAsia="zh-TW"/>
        </w:rPr>
        <w:t>所属行业领域</w:t>
      </w:r>
      <w:r>
        <w:rPr>
          <w:rFonts w:eastAsia="仿宋_GB2312"/>
          <w:snapToGrid w:val="0"/>
          <w:sz w:val="32"/>
          <w:szCs w:val="32"/>
          <w:u w:color="000000"/>
          <w:lang w:val="zh-TW" w:eastAsia="zh-TW"/>
        </w:rPr>
        <w:t>具有一定的创新性、领先性，能产生较好的社会效益、经济效益，对鲲鹏应用推广</w:t>
      </w:r>
      <w:r>
        <w:rPr>
          <w:rFonts w:eastAsia="仿宋_GB2312"/>
          <w:snapToGrid w:val="0"/>
          <w:sz w:val="32"/>
          <w:szCs w:val="32"/>
          <w:u w:color="000000"/>
          <w:lang w:val="zh-TW"/>
        </w:rPr>
        <w:t>具有显著带动作用</w:t>
      </w:r>
      <w:r>
        <w:rPr>
          <w:rFonts w:eastAsia="仿宋_GB2312"/>
          <w:snapToGrid w:val="0"/>
          <w:sz w:val="32"/>
          <w:szCs w:val="32"/>
          <w:u w:color="000000"/>
          <w:lang w:val="zh-TW" w:eastAsia="zh-TW"/>
        </w:rPr>
        <w:t>的项目。</w:t>
      </w:r>
      <w:r>
        <w:rPr>
          <w:rFonts w:eastAsia="仿宋_GB2312"/>
          <w:snapToGrid w:val="0"/>
          <w:sz w:val="32"/>
          <w:szCs w:val="32"/>
          <w:u w:color="000000"/>
        </w:rPr>
        <w:t>优先支持数字广西建设标杆引领重点示范项目（企业、平台）。</w:t>
      </w:r>
    </w:p>
    <w:p>
      <w:pPr>
        <w:pStyle w:val="11"/>
        <w:pBdr>
          <w:top w:val="none" w:color="auto" w:sz="0" w:space="0"/>
          <w:left w:val="none" w:color="auto" w:sz="0" w:space="0"/>
          <w:bottom w:val="none" w:color="auto" w:sz="0" w:space="0"/>
          <w:right w:val="none" w:color="auto" w:sz="0" w:space="0"/>
        </w:pBdr>
        <w:adjustRightInd w:val="0"/>
        <w:snapToGrid w:val="0"/>
        <w:spacing w:line="560" w:lineRule="exact"/>
        <w:ind w:firstLine="640" w:firstLineChars="200"/>
        <w:rPr>
          <w:rFonts w:ascii="Times New Roman" w:hAnsi="Times New Roman" w:eastAsia="楷体" w:cs="Times New Roman"/>
          <w:snapToGrid w:val="0"/>
          <w:color w:val="auto"/>
        </w:rPr>
      </w:pPr>
      <w:r>
        <w:rPr>
          <w:rFonts w:ascii="Times New Roman" w:hAnsi="Times New Roman" w:eastAsia="楷体" w:cs="Times New Roman"/>
          <w:snapToGrid w:val="0"/>
          <w:color w:val="auto"/>
        </w:rPr>
        <w:t>（三）鲲鹏人才培养</w:t>
      </w:r>
    </w:p>
    <w:p>
      <w:pPr>
        <w:pStyle w:val="11"/>
        <w:pBdr>
          <w:top w:val="none" w:color="auto" w:sz="0" w:space="0"/>
          <w:left w:val="none" w:color="auto" w:sz="0" w:space="0"/>
          <w:bottom w:val="none" w:color="auto" w:sz="0" w:space="0"/>
          <w:right w:val="none" w:color="auto" w:sz="0" w:space="0"/>
        </w:pBdr>
        <w:adjustRightInd w:val="0"/>
        <w:snapToGrid w:val="0"/>
        <w:spacing w:line="560" w:lineRule="exact"/>
        <w:ind w:firstLine="640" w:firstLineChars="200"/>
        <w:rPr>
          <w:rFonts w:ascii="Times New Roman" w:hAnsi="Times New Roman" w:eastAsia="方正仿宋_GBK" w:cs="Times New Roman"/>
          <w:snapToGrid w:val="0"/>
          <w:color w:val="auto"/>
        </w:rPr>
      </w:pPr>
      <w:r>
        <w:rPr>
          <w:rFonts w:ascii="Times New Roman" w:hAnsi="Times New Roman" w:eastAsia="仿宋_GB2312" w:cs="Times New Roman"/>
          <w:snapToGrid w:val="0"/>
          <w:color w:val="auto"/>
        </w:rPr>
        <w:t>支持推进鲲鹏人才培养，支持高校、科研院所及各类社会培训机构开展鲲鹏学科建设，举办鲲鹏各类培训、推广鲲鹏职业技能认证等，培养鲲鹏各层次专业人才，打造各类鲲鹏人才培养基地、鲲鹏优质学科、鲲鹏创业创新中心、鲲鹏研发中心、鲲鹏专业服务机构等，促进鲲鹏产业人才规模增长、补齐广西人才结构短板、为广西鲲鹏产业发展提供可持续发展的源动力。</w:t>
      </w:r>
    </w:p>
    <w:p>
      <w:pPr>
        <w:pStyle w:val="11"/>
        <w:pBdr>
          <w:top w:val="none" w:color="auto" w:sz="0" w:space="0"/>
          <w:left w:val="none" w:color="auto" w:sz="0" w:space="0"/>
          <w:bottom w:val="none" w:color="auto" w:sz="0" w:space="0"/>
          <w:right w:val="none" w:color="auto" w:sz="0" w:space="0"/>
        </w:pBdr>
        <w:adjustRightInd w:val="0"/>
        <w:snapToGrid w:val="0"/>
        <w:spacing w:line="560" w:lineRule="exact"/>
        <w:ind w:firstLine="640" w:firstLineChars="200"/>
        <w:rPr>
          <w:rFonts w:ascii="Times New Roman" w:hAnsi="Times New Roman" w:eastAsia="楷体" w:cs="Times New Roman"/>
          <w:snapToGrid w:val="0"/>
          <w:color w:val="auto"/>
        </w:rPr>
      </w:pPr>
      <w:r>
        <w:rPr>
          <w:rFonts w:ascii="Times New Roman" w:hAnsi="Times New Roman" w:eastAsia="楷体" w:cs="Times New Roman"/>
          <w:snapToGrid w:val="0"/>
          <w:color w:val="auto"/>
        </w:rPr>
        <w:t>（四）鲲鹏产业推广</w:t>
      </w:r>
    </w:p>
    <w:p>
      <w:pPr>
        <w:pStyle w:val="9"/>
        <w:adjustRightInd w:val="0"/>
        <w:snapToGrid w:val="0"/>
        <w:spacing w:line="560" w:lineRule="exact"/>
        <w:ind w:firstLine="640"/>
        <w:rPr>
          <w:rFonts w:ascii="Times New Roman" w:hAnsi="Times New Roman" w:eastAsia="仿宋_GB2312" w:cs="Times New Roman"/>
          <w:snapToGrid w:val="0"/>
          <w:sz w:val="32"/>
          <w:szCs w:val="32"/>
          <w:u w:color="000000"/>
        </w:rPr>
      </w:pPr>
      <w:r>
        <w:rPr>
          <w:rFonts w:ascii="Times New Roman" w:hAnsi="Times New Roman" w:eastAsia="仿宋_GB2312" w:cs="Times New Roman"/>
          <w:snapToGrid w:val="0"/>
          <w:sz w:val="32"/>
          <w:szCs w:val="32"/>
          <w:u w:color="000000"/>
        </w:rPr>
        <w:t>支持在区内举办各类为促进广西鲲鹏产业集聚发展的产业推广活动，包括产业峰会、论坛、鲲鹏应用创新大赛、鲲鹏开发者技术沙龙等。支持科研院所、高等院所、咨询机构等等基于鲲鹏生态开展相关研究，引领鲲鹏产业发展，营造良好的发展氛围。</w:t>
      </w:r>
    </w:p>
    <w:p>
      <w:pPr>
        <w:pStyle w:val="9"/>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黑体" w:cs="Times New Roman"/>
          <w:sz w:val="32"/>
          <w:szCs w:val="32"/>
        </w:rPr>
        <w:t>二、申报要求</w:t>
      </w:r>
    </w:p>
    <w:p>
      <w:pPr>
        <w:shd w:val="clear" w:color="auto" w:fill="FFFFFF"/>
        <w:adjustRightInd w:val="0"/>
        <w:snapToGrid w:val="0"/>
        <w:spacing w:line="560" w:lineRule="exact"/>
        <w:ind w:firstLine="640" w:firstLineChars="200"/>
        <w:rPr>
          <w:rFonts w:eastAsia="楷体"/>
          <w:snapToGrid w:val="0"/>
          <w:sz w:val="32"/>
          <w:szCs w:val="32"/>
        </w:rPr>
      </w:pPr>
      <w:r>
        <w:rPr>
          <w:rFonts w:eastAsia="楷体"/>
          <w:snapToGrid w:val="0"/>
          <w:sz w:val="32"/>
          <w:szCs w:val="32"/>
        </w:rPr>
        <w:t>（一）现金补贴</w:t>
      </w:r>
    </w:p>
    <w:p>
      <w:pPr>
        <w:adjustRightInd w:val="0"/>
        <w:snapToGrid w:val="0"/>
        <w:spacing w:line="560" w:lineRule="exact"/>
        <w:ind w:firstLine="640" w:firstLineChars="200"/>
        <w:rPr>
          <w:rFonts w:eastAsia="仿宋_GB2312"/>
          <w:sz w:val="32"/>
          <w:szCs w:val="32"/>
        </w:rPr>
      </w:pPr>
      <w:r>
        <w:rPr>
          <w:rFonts w:eastAsia="仿宋_GB2312"/>
          <w:sz w:val="32"/>
          <w:szCs w:val="32"/>
        </w:rPr>
        <w:t>1.鲲鹏生态建设</w:t>
      </w:r>
    </w:p>
    <w:p>
      <w:pPr>
        <w:spacing w:line="560" w:lineRule="exact"/>
        <w:ind w:firstLine="640" w:firstLineChars="200"/>
        <w:rPr>
          <w:rFonts w:eastAsia="仿宋_GB2312"/>
          <w:color w:val="000000"/>
          <w:sz w:val="32"/>
          <w:szCs w:val="32"/>
          <w:lang w:val="zh-TW" w:eastAsia="zh-TW"/>
        </w:rPr>
      </w:pPr>
      <w:r>
        <w:rPr>
          <w:rFonts w:eastAsia="仿宋_GB2312"/>
          <w:sz w:val="32"/>
          <w:szCs w:val="32"/>
        </w:rPr>
        <w:t>主要面向广西区内具有软件研发能力的各级企事业单位，支持其将拥有软件著作权、应用前景广阔、基于鲲鹏架构有明确商用计划的软件产品开展鲲鹏适配。申报单位应制定明确的适配计划，在规定时间内通过</w:t>
      </w:r>
      <w:r>
        <w:rPr>
          <w:rFonts w:hint="eastAsia" w:eastAsia="仿宋_GB2312"/>
          <w:sz w:val="32"/>
          <w:szCs w:val="32"/>
          <w:lang w:eastAsia="zh-CN"/>
        </w:rPr>
        <w:t>中国—东盟</w:t>
      </w:r>
      <w:r>
        <w:rPr>
          <w:rFonts w:eastAsia="仿宋_GB2312"/>
          <w:sz w:val="32"/>
          <w:szCs w:val="32"/>
        </w:rPr>
        <w:t>信息港鲲鹏生态创新中心完成适配认证，根据适配组件数量、适配复杂程度，按投入人力成本进行申报，申报金额合理并作必要说明，原则上每款应用申报金额最</w:t>
      </w:r>
      <w:r>
        <w:rPr>
          <w:rFonts w:eastAsia="仿宋_GB2312"/>
          <w:color w:val="000000"/>
          <w:sz w:val="32"/>
          <w:szCs w:val="32"/>
          <w:lang w:val="zh-TW" w:eastAsia="zh-TW"/>
        </w:rPr>
        <w:t>高不超10万元。有鲲鹏信创云、鲲鹏政务云或其他商用计划的，应提供使用单位出具的上云计划等相关证明材料，签订补贴项目合同后发放补贴金额70%，项目验收后发放补贴金额的30%。同一家单位每年申报的应用不超过3款。</w:t>
      </w:r>
    </w:p>
    <w:p>
      <w:pPr>
        <w:spacing w:line="560" w:lineRule="exact"/>
        <w:ind w:firstLine="640" w:firstLineChars="200"/>
        <w:rPr>
          <w:rFonts w:eastAsia="仿宋_GB2312"/>
          <w:color w:val="000000"/>
          <w:sz w:val="32"/>
          <w:szCs w:val="32"/>
          <w:lang w:val="zh-TW" w:eastAsia="zh-TW"/>
        </w:rPr>
      </w:pPr>
      <w:r>
        <w:rPr>
          <w:rFonts w:eastAsia="仿宋_GB2312"/>
          <w:color w:val="000000"/>
          <w:sz w:val="32"/>
          <w:szCs w:val="32"/>
          <w:lang w:val="zh-TW" w:eastAsia="zh-TW"/>
        </w:rPr>
        <w:t>2.鲲鹏示范应用</w:t>
      </w:r>
    </w:p>
    <w:p>
      <w:pPr>
        <w:spacing w:line="560" w:lineRule="exact"/>
        <w:ind w:firstLine="640" w:firstLineChars="200"/>
        <w:rPr>
          <w:rFonts w:eastAsia="仿宋_GB2312"/>
          <w:color w:val="000000"/>
          <w:sz w:val="32"/>
          <w:szCs w:val="32"/>
          <w:lang w:val="zh-TW" w:eastAsia="zh-TW"/>
        </w:rPr>
      </w:pPr>
      <w:r>
        <w:rPr>
          <w:rFonts w:eastAsia="仿宋_GB2312"/>
          <w:color w:val="000000"/>
          <w:sz w:val="32"/>
          <w:szCs w:val="32"/>
          <w:lang w:val="zh-TW" w:eastAsia="zh-TW"/>
        </w:rPr>
        <w:t>主要面向广西区内有基于鲲鹏技术体系建设信息化项目的各级企事业单位。新建项目基于鲲鹏物理服务器、PC机搭建的，以鲲鹏设备、欧拉操作系统、高斯数据库等国产化基础软件采购金额为补贴基准，原则上申报金额不超过补贴基准50%且不超过100万。新建项目基于华为鲲鹏公有云搭建的，根据适配组件数量、迁移复杂程度，按所投入人力成本进行申报，申报金额合理并作必要说明，每款应用申报金额最高不超10万元。申报单位应有明确的项目建设方案，制定明确的适配迁移计划，在规定时间内完成项目建设或将生产环境迁移上云，同一家单位每年只能申报1个项目，同一项目只能由一个单位提出申请。</w:t>
      </w:r>
    </w:p>
    <w:p>
      <w:pPr>
        <w:spacing w:line="560" w:lineRule="exact"/>
        <w:ind w:firstLine="640" w:firstLineChars="200"/>
        <w:rPr>
          <w:rFonts w:eastAsia="仿宋_GB2312"/>
          <w:color w:val="000000"/>
          <w:sz w:val="32"/>
          <w:szCs w:val="32"/>
          <w:lang w:val="zh-TW" w:eastAsia="zh-TW"/>
        </w:rPr>
      </w:pPr>
      <w:r>
        <w:rPr>
          <w:rFonts w:eastAsia="仿宋_GB2312"/>
          <w:color w:val="000000"/>
          <w:sz w:val="32"/>
          <w:szCs w:val="32"/>
          <w:lang w:val="zh-TW" w:eastAsia="zh-TW"/>
        </w:rPr>
        <w:t>3.鲲鹏人才培养</w:t>
      </w:r>
    </w:p>
    <w:p>
      <w:pPr>
        <w:spacing w:line="560" w:lineRule="exact"/>
        <w:ind w:firstLine="640" w:firstLineChars="200"/>
        <w:rPr>
          <w:rFonts w:eastAsia="仿宋_GB2312"/>
          <w:color w:val="000000"/>
          <w:sz w:val="32"/>
          <w:szCs w:val="32"/>
          <w:lang w:val="zh-TW" w:eastAsia="zh-TW"/>
        </w:rPr>
      </w:pPr>
      <w:r>
        <w:rPr>
          <w:rFonts w:eastAsia="仿宋_GB2312"/>
          <w:color w:val="000000"/>
          <w:sz w:val="32"/>
          <w:szCs w:val="32"/>
          <w:lang w:val="zh-TW" w:eastAsia="zh-TW"/>
        </w:rPr>
        <w:t>主要面向广西区内具有人才培养相关专业服务资质的高校、科研机构、培训机构等，支持建设鲲鹏公共实训基地、鲲鹏实验室；支持开发鲲鹏教材、建设鲲鹏产教融合育人基地、向公众提供鲲鹏职业技能认证服务等。要求申报单位在2022年有较明确的人才培养实施计划、可量化的成果指标。原则上同一家单位每年申报的项目不超过3个，同一项目只能由一个单位提出申请。</w:t>
      </w:r>
    </w:p>
    <w:p>
      <w:pPr>
        <w:spacing w:line="560" w:lineRule="exact"/>
        <w:ind w:firstLine="640" w:firstLineChars="200"/>
        <w:rPr>
          <w:rFonts w:eastAsia="仿宋_GB2312"/>
          <w:color w:val="000000"/>
          <w:sz w:val="32"/>
          <w:szCs w:val="32"/>
          <w:lang w:val="zh-TW" w:eastAsia="zh-TW"/>
        </w:rPr>
      </w:pPr>
      <w:r>
        <w:rPr>
          <w:rFonts w:eastAsia="仿宋_GB2312"/>
          <w:color w:val="000000"/>
          <w:sz w:val="32"/>
          <w:szCs w:val="32"/>
          <w:lang w:val="zh-TW" w:eastAsia="zh-TW"/>
        </w:rPr>
        <w:t xml:space="preserve"> 4.鲲鹏产业推广</w:t>
      </w:r>
    </w:p>
    <w:p>
      <w:pPr>
        <w:spacing w:line="560" w:lineRule="exact"/>
        <w:ind w:firstLine="640" w:firstLineChars="200"/>
        <w:rPr>
          <w:rFonts w:eastAsia="仿宋_GB2312"/>
          <w:sz w:val="32"/>
          <w:szCs w:val="32"/>
        </w:rPr>
      </w:pPr>
      <w:r>
        <w:rPr>
          <w:rFonts w:eastAsia="仿宋_GB2312"/>
          <w:color w:val="000000"/>
          <w:sz w:val="32"/>
          <w:szCs w:val="32"/>
          <w:lang w:val="zh-TW" w:eastAsia="zh-TW"/>
        </w:rPr>
        <w:t>主要面向广西区内企事业单位、高等院校、科研院所、社会团体等机构。申报举办峰会、论坛的，要求参会人员规模不少于200人；举办鲲鹏开发者沙龙的，要求人员规模不少于100人，举办鲲鹏大赛的，要求提交作品数不少于50份。基于鲲鹏生态开展相关研究的，要求申报机构、编写人员在业界有一定权威性，编写的研究报告能为鲲鹏产业发展提供系统性研判，对广西鲲鹏产业发展具备参考价值。原则上同一家单位每年申报的项目不超过3个，同一项目</w:t>
      </w:r>
      <w:r>
        <w:rPr>
          <w:rFonts w:eastAsia="仿宋_GB2312"/>
          <w:sz w:val="32"/>
          <w:szCs w:val="32"/>
        </w:rPr>
        <w:t>只能由一个单位提出申报。</w:t>
      </w:r>
    </w:p>
    <w:p>
      <w:pPr>
        <w:adjustRightInd w:val="0"/>
        <w:snapToGrid w:val="0"/>
        <w:spacing w:line="560" w:lineRule="exact"/>
        <w:ind w:firstLine="640" w:firstLineChars="200"/>
        <w:rPr>
          <w:rFonts w:eastAsia="楷体"/>
          <w:bCs/>
          <w:sz w:val="32"/>
          <w:szCs w:val="32"/>
        </w:rPr>
      </w:pPr>
      <w:r>
        <w:rPr>
          <w:rFonts w:eastAsia="楷体"/>
          <w:bCs/>
          <w:sz w:val="32"/>
          <w:szCs w:val="32"/>
        </w:rPr>
        <w:t>（二）鲲鹏资源补贴</w:t>
      </w:r>
    </w:p>
    <w:p>
      <w:pPr>
        <w:spacing w:line="560" w:lineRule="exact"/>
        <w:ind w:firstLine="640" w:firstLineChars="200"/>
        <w:rPr>
          <w:rFonts w:eastAsia="仿宋_GB2312"/>
          <w:color w:val="000000"/>
          <w:sz w:val="32"/>
          <w:szCs w:val="32"/>
          <w:lang w:val="zh-TW" w:eastAsia="zh-TW"/>
        </w:rPr>
      </w:pPr>
      <w:r>
        <w:rPr>
          <w:rFonts w:eastAsia="仿宋_GB2312"/>
          <w:color w:val="000000"/>
          <w:sz w:val="32"/>
          <w:szCs w:val="32"/>
          <w:lang w:val="zh-TW" w:eastAsia="zh-TW"/>
        </w:rPr>
        <w:t>1.鲲鹏生态建设</w:t>
      </w:r>
    </w:p>
    <w:p>
      <w:pPr>
        <w:spacing w:line="560" w:lineRule="exact"/>
        <w:ind w:firstLine="640" w:firstLineChars="200"/>
        <w:rPr>
          <w:rFonts w:eastAsia="仿宋_GB2312"/>
          <w:color w:val="000000"/>
          <w:sz w:val="32"/>
          <w:szCs w:val="32"/>
          <w:lang w:val="zh-TW" w:eastAsia="zh-TW"/>
        </w:rPr>
      </w:pPr>
      <w:r>
        <w:rPr>
          <w:rFonts w:eastAsia="仿宋_GB2312"/>
          <w:color w:val="000000"/>
          <w:sz w:val="32"/>
          <w:szCs w:val="32"/>
          <w:lang w:val="zh-TW" w:eastAsia="zh-TW"/>
        </w:rPr>
        <w:t>主要面向广西区内具有软件研发能力的各级企事业单位，支持其将拥有软件著作权、应用前景广阔、基于鲲鹏架构有明确商用计划的软件产品开展鲲鹏适配。申报单位应制定明确的适配计划，根据软件系统适配运行需要，按资源补贴清单（详见附件</w:t>
      </w:r>
      <w:r>
        <w:rPr>
          <w:rFonts w:eastAsia="仿宋_GB2312"/>
          <w:color w:val="000000"/>
          <w:sz w:val="32"/>
          <w:szCs w:val="32"/>
        </w:rPr>
        <w:t>3-1</w:t>
      </w:r>
      <w:r>
        <w:rPr>
          <w:rFonts w:eastAsia="仿宋_GB2312"/>
          <w:color w:val="000000"/>
          <w:sz w:val="32"/>
          <w:szCs w:val="32"/>
          <w:lang w:val="zh-TW" w:eastAsia="zh-TW"/>
        </w:rPr>
        <w:t>）提出。原则上同一家单位每年申报的应用不超过3款。</w:t>
      </w:r>
    </w:p>
    <w:p>
      <w:pPr>
        <w:spacing w:line="560" w:lineRule="exact"/>
        <w:ind w:firstLine="640" w:firstLineChars="200"/>
        <w:rPr>
          <w:rFonts w:eastAsia="仿宋_GB2312"/>
          <w:color w:val="000000"/>
          <w:sz w:val="32"/>
          <w:szCs w:val="32"/>
          <w:lang w:val="zh-TW" w:eastAsia="zh-TW"/>
        </w:rPr>
      </w:pPr>
      <w:r>
        <w:rPr>
          <w:rFonts w:eastAsia="仿宋_GB2312"/>
          <w:color w:val="000000"/>
          <w:sz w:val="32"/>
          <w:szCs w:val="32"/>
          <w:lang w:val="zh-TW" w:eastAsia="zh-TW"/>
        </w:rPr>
        <w:t>2.鲲鹏示范应用</w:t>
      </w:r>
    </w:p>
    <w:p>
      <w:pPr>
        <w:spacing w:line="560" w:lineRule="exact"/>
        <w:ind w:firstLine="640" w:firstLineChars="200"/>
        <w:rPr>
          <w:rFonts w:eastAsia="仿宋_GB2312"/>
          <w:color w:val="000000"/>
          <w:sz w:val="32"/>
          <w:szCs w:val="32"/>
          <w:lang w:val="zh-TW" w:eastAsia="zh-TW"/>
        </w:rPr>
      </w:pPr>
      <w:r>
        <w:rPr>
          <w:rFonts w:eastAsia="仿宋_GB2312"/>
          <w:color w:val="000000"/>
          <w:sz w:val="32"/>
          <w:szCs w:val="32"/>
          <w:lang w:val="zh-TW" w:eastAsia="zh-TW"/>
        </w:rPr>
        <w:t>主要面向广西区内有信息化项目建设需求的各级企事业单位。支持其将项目基于鲲鹏技术体系建设，或将其投资运营的应用系统迁移至华为鲲鹏公有云。要求申报单位制定明确的适配迁移计划，在规定时间内将生产环境迁移至华为鲲鹏公有云。根据项目建设运行的需要，按资源补贴清单（详见附件</w:t>
      </w:r>
      <w:r>
        <w:rPr>
          <w:rFonts w:eastAsia="仿宋_GB2312"/>
          <w:color w:val="000000"/>
          <w:sz w:val="32"/>
          <w:szCs w:val="32"/>
        </w:rPr>
        <w:t>3-1</w:t>
      </w:r>
      <w:r>
        <w:rPr>
          <w:rFonts w:eastAsia="仿宋_GB2312"/>
          <w:color w:val="000000"/>
          <w:sz w:val="32"/>
          <w:szCs w:val="32"/>
          <w:lang w:val="zh-TW" w:eastAsia="zh-TW"/>
        </w:rPr>
        <w:t>）提出。原则上同一家单位每年只能申报1个项目，同一项目只能由一个单位提出申请。</w:t>
      </w:r>
    </w:p>
    <w:p>
      <w:pPr>
        <w:spacing w:line="560" w:lineRule="exact"/>
        <w:ind w:firstLine="640" w:firstLineChars="200"/>
        <w:rPr>
          <w:rFonts w:eastAsia="仿宋_GB2312"/>
          <w:color w:val="000000"/>
          <w:sz w:val="32"/>
          <w:szCs w:val="32"/>
          <w:lang w:val="zh-TW" w:eastAsia="zh-TW"/>
        </w:rPr>
      </w:pPr>
      <w:r>
        <w:rPr>
          <w:rFonts w:eastAsia="仿宋_GB2312"/>
          <w:color w:val="000000"/>
          <w:sz w:val="32"/>
          <w:szCs w:val="32"/>
          <w:lang w:val="zh-TW" w:eastAsia="zh-TW"/>
        </w:rPr>
        <w:t>3.鲲鹏人才培养</w:t>
      </w:r>
    </w:p>
    <w:p>
      <w:pPr>
        <w:spacing w:line="560" w:lineRule="exact"/>
        <w:ind w:firstLine="640" w:firstLineChars="200"/>
        <w:rPr>
          <w:rFonts w:eastAsia="仿宋_GB2312"/>
          <w:color w:val="000000"/>
          <w:sz w:val="32"/>
          <w:szCs w:val="32"/>
          <w:lang w:val="zh-TW" w:eastAsia="zh-TW"/>
        </w:rPr>
      </w:pPr>
      <w:r>
        <w:rPr>
          <w:rFonts w:eastAsia="仿宋_GB2312"/>
          <w:color w:val="000000"/>
          <w:sz w:val="32"/>
          <w:szCs w:val="32"/>
          <w:lang w:val="zh-TW" w:eastAsia="zh-TW"/>
        </w:rPr>
        <w:t>主要面向广西区内高等院校、企事业单位，支持高校开设鲲鹏课程、建设鲲鹏实训平台和教学资源库、开展师资培训和学科竞赛等，支持企事业单位组织开展鲲鹏技术培训。要求申报单位明确2022年鲲鹏人才培养需求和目标，按资源补贴清单（详见附件</w:t>
      </w:r>
      <w:r>
        <w:rPr>
          <w:rFonts w:eastAsia="仿宋_GB2312"/>
          <w:color w:val="000000"/>
          <w:sz w:val="32"/>
          <w:szCs w:val="32"/>
        </w:rPr>
        <w:t>3-1</w:t>
      </w:r>
      <w:r>
        <w:rPr>
          <w:rFonts w:eastAsia="仿宋_GB2312"/>
          <w:color w:val="000000"/>
          <w:sz w:val="32"/>
          <w:szCs w:val="32"/>
          <w:lang w:val="zh-TW" w:eastAsia="zh-TW"/>
        </w:rPr>
        <w:t>）提出。原则上同一个单位每年只能申报3个项目，同一项目只能由一个单位提出申报。</w:t>
      </w:r>
    </w:p>
    <w:p>
      <w:pPr>
        <w:spacing w:line="560" w:lineRule="exact"/>
        <w:ind w:firstLine="640" w:firstLineChars="200"/>
        <w:rPr>
          <w:rFonts w:eastAsia="仿宋_GB2312"/>
          <w:color w:val="000000"/>
          <w:sz w:val="32"/>
          <w:szCs w:val="32"/>
          <w:lang w:val="zh-TW" w:eastAsia="zh-TW"/>
        </w:rPr>
      </w:pPr>
      <w:r>
        <w:rPr>
          <w:rFonts w:eastAsia="仿宋_GB2312"/>
          <w:color w:val="000000"/>
          <w:sz w:val="32"/>
          <w:szCs w:val="32"/>
          <w:lang w:val="zh-TW" w:eastAsia="zh-TW"/>
        </w:rPr>
        <w:t>4. 鲲鹏产业推广</w:t>
      </w:r>
    </w:p>
    <w:p>
      <w:pPr>
        <w:spacing w:line="560" w:lineRule="exact"/>
        <w:ind w:firstLine="640" w:firstLineChars="200"/>
        <w:rPr>
          <w:rFonts w:eastAsia="仿宋_GB2312"/>
          <w:sz w:val="32"/>
          <w:szCs w:val="32"/>
        </w:rPr>
      </w:pPr>
      <w:r>
        <w:rPr>
          <w:rFonts w:eastAsia="仿宋_GB2312"/>
          <w:color w:val="000000"/>
          <w:sz w:val="32"/>
          <w:szCs w:val="32"/>
          <w:lang w:val="zh-TW" w:eastAsia="zh-TW"/>
        </w:rPr>
        <w:t>主要面向广西区内高等院校、科研机构、企事业单位、社会团体等，支持举办鲲鹏应用创新大赛、技术沙龙，鼓励社会开发者、高校学生积极参与鲲鹏产业生态建设，解决鲲鹏适配迁移关键共性问题，孵化更多鲲鹏创新解决方案。申报的大赛要求有明确的赛题及赛程策划，提交作品数不少于50份。原</w:t>
      </w:r>
      <w:r>
        <w:rPr>
          <w:rFonts w:eastAsia="仿宋_GB2312"/>
          <w:snapToGrid w:val="0"/>
          <w:sz w:val="32"/>
          <w:szCs w:val="32"/>
          <w:u w:color="000000"/>
        </w:rPr>
        <w:t>则上同一个单位每年只</w:t>
      </w:r>
      <w:r>
        <w:rPr>
          <w:rFonts w:eastAsia="仿宋_GB2312"/>
          <w:color w:val="000000"/>
          <w:sz w:val="32"/>
          <w:szCs w:val="32"/>
          <w:lang w:val="zh-TW" w:eastAsia="zh-TW"/>
        </w:rPr>
        <w:t>能申报3个项目，</w:t>
      </w:r>
      <w:r>
        <w:rPr>
          <w:rFonts w:eastAsia="仿宋_GB2312"/>
          <w:snapToGrid w:val="0"/>
          <w:sz w:val="32"/>
          <w:szCs w:val="32"/>
          <w:u w:color="000000"/>
        </w:rPr>
        <w:t>同一项目只能由一个单位提出申报。</w:t>
      </w:r>
    </w:p>
    <w:p>
      <w:pPr>
        <w:widowControl/>
        <w:jc w:val="left"/>
        <w:rPr>
          <w:rFonts w:eastAsia="方正黑体_GBK"/>
          <w:sz w:val="32"/>
          <w:szCs w:val="32"/>
        </w:rPr>
      </w:pPr>
      <w:r>
        <w:rPr>
          <w:rFonts w:eastAsia="方正黑体_GBK"/>
          <w:sz w:val="32"/>
          <w:szCs w:val="32"/>
          <w:lang w:val="zh-TW"/>
        </w:rPr>
        <w:br w:type="page"/>
      </w:r>
      <w:r>
        <w:rPr>
          <w:rFonts w:eastAsia="方正黑体_GBK"/>
          <w:sz w:val="32"/>
          <w:szCs w:val="32"/>
        </w:rPr>
        <w:t>附件3</w:t>
      </w:r>
      <w:r>
        <w:rPr>
          <w:rFonts w:eastAsia="PMingLiU"/>
          <w:sz w:val="32"/>
          <w:szCs w:val="32"/>
        </w:rPr>
        <w:t>-1</w:t>
      </w:r>
    </w:p>
    <w:p>
      <w:pPr>
        <w:adjustRightInd w:val="0"/>
        <w:spacing w:before="120" w:beforeLines="50" w:after="120" w:afterLines="50" w:line="600" w:lineRule="exact"/>
        <w:jc w:val="center"/>
        <w:rPr>
          <w:rFonts w:eastAsia="方正小标宋_GBK"/>
          <w:bCs/>
          <w:sz w:val="44"/>
          <w:szCs w:val="44"/>
        </w:rPr>
      </w:pPr>
    </w:p>
    <w:p>
      <w:pPr>
        <w:adjustRightInd w:val="0"/>
        <w:spacing w:before="120" w:beforeLines="50" w:after="120" w:afterLines="50" w:line="600" w:lineRule="exact"/>
        <w:jc w:val="center"/>
        <w:rPr>
          <w:rFonts w:eastAsia="方正小标宋简体"/>
          <w:bCs/>
          <w:sz w:val="44"/>
          <w:szCs w:val="44"/>
        </w:rPr>
      </w:pPr>
      <w:r>
        <w:rPr>
          <w:rFonts w:hint="eastAsia" w:eastAsia="方正小标宋简体"/>
          <w:bCs/>
          <w:sz w:val="44"/>
          <w:szCs w:val="44"/>
          <w:lang w:eastAsia="zh-CN"/>
        </w:rPr>
        <w:t>中国—东盟</w:t>
      </w:r>
      <w:r>
        <w:rPr>
          <w:rFonts w:eastAsia="方正小标宋简体"/>
          <w:bCs/>
          <w:sz w:val="44"/>
          <w:szCs w:val="44"/>
        </w:rPr>
        <w:t>信息港鲲鹏生态创新中心</w:t>
      </w:r>
    </w:p>
    <w:p>
      <w:pPr>
        <w:adjustRightInd w:val="0"/>
        <w:spacing w:before="120" w:beforeLines="50" w:after="120" w:afterLines="50" w:line="600" w:lineRule="exact"/>
        <w:jc w:val="center"/>
        <w:rPr>
          <w:rFonts w:eastAsia="方正小标宋简体"/>
          <w:bCs/>
          <w:sz w:val="44"/>
          <w:szCs w:val="44"/>
        </w:rPr>
      </w:pPr>
      <w:r>
        <w:rPr>
          <w:rFonts w:eastAsia="方正小标宋简体"/>
          <w:bCs/>
          <w:sz w:val="44"/>
          <w:szCs w:val="44"/>
        </w:rPr>
        <w:t>2022年专项补贴鲲鹏资源清单</w:t>
      </w:r>
    </w:p>
    <w:p>
      <w:pPr>
        <w:pStyle w:val="2"/>
        <w:widowControl/>
        <w:ind w:firstLine="0" w:firstLineChars="0"/>
        <w:rPr>
          <w:rFonts w:eastAsia="PMingLiU"/>
          <w:bCs/>
        </w:rPr>
      </w:pPr>
    </w:p>
    <w:p>
      <w:pPr>
        <w:snapToGrid w:val="0"/>
        <w:spacing w:line="590" w:lineRule="exact"/>
        <w:jc w:val="center"/>
        <w:rPr>
          <w:rFonts w:eastAsia="PMingLiU"/>
          <w:sz w:val="32"/>
          <w:szCs w:val="32"/>
        </w:rPr>
      </w:pPr>
      <w:r>
        <w:rPr>
          <w:rFonts w:eastAsia="仿宋"/>
          <w:b/>
          <w:kern w:val="0"/>
          <w:sz w:val="32"/>
          <w:szCs w:val="32"/>
        </w:rPr>
        <w:t>鲲鹏资源套餐总览</w:t>
      </w:r>
    </w:p>
    <w:p>
      <w:pPr>
        <w:pStyle w:val="2"/>
        <w:widowControl/>
        <w:ind w:firstLine="0" w:firstLineChars="0"/>
        <w:rPr>
          <w:rFonts w:eastAsia="PMingLiU"/>
          <w:bCs/>
        </w:rPr>
      </w:pPr>
    </w:p>
    <w:tbl>
      <w:tblPr>
        <w:tblStyle w:val="6"/>
        <w:tblW w:w="8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2"/>
        <w:gridCol w:w="1389"/>
        <w:gridCol w:w="4598"/>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b/>
                <w:szCs w:val="21"/>
              </w:rPr>
            </w:pPr>
            <w:r>
              <w:rPr>
                <w:rFonts w:eastAsia="仿宋"/>
                <w:b/>
                <w:kern w:val="0"/>
                <w:szCs w:val="21"/>
              </w:rPr>
              <w:t>序号</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b/>
                <w:szCs w:val="21"/>
              </w:rPr>
            </w:pPr>
            <w:r>
              <w:rPr>
                <w:rFonts w:eastAsia="仿宋"/>
                <w:b/>
                <w:kern w:val="0"/>
                <w:szCs w:val="21"/>
              </w:rPr>
              <w:t>类别</w:t>
            </w: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b/>
                <w:szCs w:val="21"/>
              </w:rPr>
            </w:pPr>
            <w:r>
              <w:rPr>
                <w:rFonts w:eastAsia="仿宋"/>
                <w:b/>
                <w:kern w:val="0"/>
                <w:szCs w:val="21"/>
              </w:rPr>
              <w:t>服务项目名称</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b/>
                <w:kern w:val="0"/>
                <w:szCs w:val="21"/>
              </w:rPr>
            </w:pPr>
            <w:r>
              <w:rPr>
                <w:rFonts w:eastAsia="仿宋"/>
                <w:b/>
                <w:kern w:val="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kern w:val="0"/>
                <w:szCs w:val="21"/>
              </w:rPr>
            </w:pPr>
            <w:r>
              <w:rPr>
                <w:rFonts w:eastAsia="仿宋"/>
                <w:kern w:val="0"/>
                <w:szCs w:val="21"/>
              </w:rPr>
              <w:t>1</w:t>
            </w:r>
          </w:p>
        </w:tc>
        <w:tc>
          <w:tcPr>
            <w:tcW w:w="1389" w:type="dxa"/>
            <w:vMerge w:val="restart"/>
            <w:tcBorders>
              <w:top w:val="nil"/>
              <w:left w:val="single" w:color="auto" w:sz="4" w:space="0"/>
              <w:bottom w:val="single" w:color="auto" w:sz="4" w:space="0"/>
              <w:right w:val="single" w:color="auto" w:sz="4" w:space="0"/>
            </w:tcBorders>
            <w:shd w:val="clear" w:color="auto" w:fill="auto"/>
            <w:vAlign w:val="center"/>
          </w:tcPr>
          <w:p>
            <w:pPr>
              <w:spacing w:line="500" w:lineRule="exact"/>
              <w:jc w:val="center"/>
              <w:textAlignment w:val="center"/>
              <w:rPr>
                <w:rFonts w:eastAsia="仿宋"/>
                <w:b/>
                <w:szCs w:val="21"/>
              </w:rPr>
            </w:pPr>
            <w:r>
              <w:rPr>
                <w:rFonts w:eastAsia="仿宋"/>
                <w:b/>
                <w:szCs w:val="21"/>
              </w:rPr>
              <w:t>鲲鹏生态建设补贴</w:t>
            </w: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szCs w:val="21"/>
              </w:rPr>
            </w:pPr>
            <w:r>
              <w:rPr>
                <w:rFonts w:eastAsia="仿宋"/>
                <w:szCs w:val="21"/>
              </w:rPr>
              <w:t>鲲鹏生态建设补贴基础套餐</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kern w:val="0"/>
                <w:szCs w:val="21"/>
              </w:rPr>
            </w:pPr>
            <w:r>
              <w:rPr>
                <w:rFonts w:eastAsia="仿宋"/>
                <w:kern w:val="0"/>
                <w:szCs w:val="21"/>
              </w:rPr>
              <w:t>2</w:t>
            </w:r>
          </w:p>
        </w:tc>
        <w:tc>
          <w:tcPr>
            <w:tcW w:w="1389"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szCs w:val="21"/>
              </w:rPr>
            </w:pPr>
            <w:r>
              <w:rPr>
                <w:rFonts w:eastAsia="仿宋"/>
                <w:szCs w:val="21"/>
              </w:rPr>
              <w:t>鲲鹏生态建设补贴优化套餐</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kern w:val="0"/>
                <w:szCs w:val="21"/>
              </w:rPr>
            </w:pPr>
            <w:r>
              <w:rPr>
                <w:rFonts w:eastAsia="仿宋"/>
                <w:kern w:val="0"/>
                <w:szCs w:val="21"/>
              </w:rPr>
              <w:t>3</w:t>
            </w:r>
          </w:p>
        </w:tc>
        <w:tc>
          <w:tcPr>
            <w:tcW w:w="1389"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szCs w:val="21"/>
              </w:rPr>
            </w:pPr>
            <w:r>
              <w:rPr>
                <w:rFonts w:eastAsia="仿宋"/>
                <w:szCs w:val="21"/>
              </w:rPr>
              <w:t>鲲鹏生态建设补贴高级套餐</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szCs w:val="21"/>
              </w:rPr>
            </w:pPr>
            <w:r>
              <w:rPr>
                <w:rFonts w:eastAsia="仿宋"/>
                <w:kern w:val="0"/>
                <w:szCs w:val="21"/>
              </w:rPr>
              <w:t>4</w:t>
            </w:r>
          </w:p>
        </w:tc>
        <w:tc>
          <w:tcPr>
            <w:tcW w:w="1389" w:type="dxa"/>
            <w:vMerge w:val="restart"/>
            <w:tcBorders>
              <w:top w:val="nil"/>
              <w:left w:val="single" w:color="auto" w:sz="4" w:space="0"/>
              <w:bottom w:val="single" w:color="auto" w:sz="4" w:space="0"/>
              <w:right w:val="single" w:color="auto" w:sz="4" w:space="0"/>
            </w:tcBorders>
            <w:shd w:val="clear" w:color="auto" w:fill="auto"/>
            <w:vAlign w:val="center"/>
          </w:tcPr>
          <w:p>
            <w:pPr>
              <w:spacing w:line="500" w:lineRule="exact"/>
              <w:jc w:val="center"/>
              <w:textAlignment w:val="center"/>
              <w:rPr>
                <w:rFonts w:eastAsia="仿宋"/>
                <w:b/>
                <w:szCs w:val="21"/>
              </w:rPr>
            </w:pPr>
            <w:r>
              <w:rPr>
                <w:rFonts w:eastAsia="仿宋"/>
                <w:b/>
                <w:szCs w:val="21"/>
              </w:rPr>
              <w:t>鲲鹏示范应用补贴</w:t>
            </w: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szCs w:val="21"/>
              </w:rPr>
            </w:pPr>
            <w:r>
              <w:rPr>
                <w:rFonts w:eastAsia="仿宋"/>
                <w:szCs w:val="21"/>
              </w:rPr>
              <w:t>鲲鹏示范应用补贴基础套餐</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szCs w:val="21"/>
              </w:rPr>
            </w:pPr>
            <w:r>
              <w:rPr>
                <w:rFonts w:eastAsia="仿宋"/>
                <w:kern w:val="0"/>
                <w:szCs w:val="21"/>
              </w:rPr>
              <w:t>5</w:t>
            </w:r>
          </w:p>
        </w:tc>
        <w:tc>
          <w:tcPr>
            <w:tcW w:w="1389"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szCs w:val="21"/>
              </w:rPr>
            </w:pPr>
            <w:r>
              <w:rPr>
                <w:rFonts w:eastAsia="仿宋"/>
                <w:szCs w:val="21"/>
              </w:rPr>
              <w:t>鲲鹏示范应用补贴初级套餐</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szCs w:val="21"/>
              </w:rPr>
            </w:pPr>
            <w:r>
              <w:rPr>
                <w:rFonts w:eastAsia="仿宋"/>
                <w:kern w:val="0"/>
                <w:szCs w:val="21"/>
              </w:rPr>
              <w:t>6</w:t>
            </w:r>
          </w:p>
        </w:tc>
        <w:tc>
          <w:tcPr>
            <w:tcW w:w="1389"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szCs w:val="21"/>
              </w:rPr>
            </w:pPr>
            <w:r>
              <w:rPr>
                <w:rFonts w:eastAsia="仿宋"/>
                <w:szCs w:val="21"/>
              </w:rPr>
              <w:t>鲲鹏示范应用补贴中级套餐</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szCs w:val="21"/>
              </w:rPr>
            </w:pPr>
            <w:r>
              <w:rPr>
                <w:rFonts w:eastAsia="仿宋"/>
                <w:kern w:val="0"/>
                <w:szCs w:val="21"/>
              </w:rPr>
              <w:t>7</w:t>
            </w:r>
          </w:p>
        </w:tc>
        <w:tc>
          <w:tcPr>
            <w:tcW w:w="1389"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szCs w:val="21"/>
              </w:rPr>
            </w:pPr>
            <w:r>
              <w:rPr>
                <w:rFonts w:eastAsia="仿宋"/>
                <w:szCs w:val="21"/>
              </w:rPr>
              <w:t>鲲鹏示范应用补贴高级套餐</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¥550,000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kern w:val="0"/>
                <w:szCs w:val="21"/>
              </w:rPr>
            </w:pPr>
            <w:r>
              <w:rPr>
                <w:rFonts w:eastAsia="仿宋"/>
                <w:kern w:val="0"/>
                <w:szCs w:val="21"/>
              </w:rPr>
              <w:t>8</w:t>
            </w:r>
          </w:p>
        </w:tc>
        <w:tc>
          <w:tcPr>
            <w:tcW w:w="1389" w:type="dxa"/>
            <w:vMerge w:val="restart"/>
            <w:tcBorders>
              <w:top w:val="nil"/>
              <w:left w:val="single" w:color="auto" w:sz="4" w:space="0"/>
              <w:bottom w:val="single" w:color="auto" w:sz="4" w:space="0"/>
              <w:right w:val="single" w:color="auto" w:sz="4" w:space="0"/>
            </w:tcBorders>
            <w:shd w:val="clear" w:color="auto" w:fill="auto"/>
            <w:vAlign w:val="center"/>
          </w:tcPr>
          <w:p>
            <w:pPr>
              <w:spacing w:line="500" w:lineRule="exact"/>
              <w:jc w:val="center"/>
              <w:textAlignment w:val="center"/>
              <w:rPr>
                <w:rFonts w:eastAsia="仿宋"/>
                <w:szCs w:val="21"/>
              </w:rPr>
            </w:pPr>
            <w:r>
              <w:rPr>
                <w:rFonts w:eastAsia="仿宋"/>
                <w:b/>
                <w:szCs w:val="21"/>
              </w:rPr>
              <w:t>鲲鹏人才培养补贴</w:t>
            </w: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高校课程建设补贴基础套餐</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kern w:val="0"/>
                <w:szCs w:val="21"/>
              </w:rPr>
            </w:pPr>
            <w:r>
              <w:rPr>
                <w:rFonts w:eastAsia="仿宋"/>
                <w:kern w:val="0"/>
                <w:szCs w:val="21"/>
              </w:rPr>
              <w:t>9</w:t>
            </w:r>
          </w:p>
        </w:tc>
        <w:tc>
          <w:tcPr>
            <w:tcW w:w="1389"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高校课程建设补贴中级套餐</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kern w:val="0"/>
                <w:szCs w:val="21"/>
              </w:rPr>
            </w:pPr>
            <w:r>
              <w:rPr>
                <w:rFonts w:eastAsia="仿宋"/>
                <w:kern w:val="0"/>
                <w:szCs w:val="21"/>
              </w:rPr>
              <w:t>10</w:t>
            </w:r>
          </w:p>
        </w:tc>
        <w:tc>
          <w:tcPr>
            <w:tcW w:w="1389"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高校课程建设补贴高级套餐</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szCs w:val="21"/>
              </w:rPr>
            </w:pPr>
            <w:r>
              <w:rPr>
                <w:rFonts w:eastAsia="仿宋"/>
                <w:kern w:val="0"/>
                <w:szCs w:val="21"/>
              </w:rPr>
              <w:t>11</w:t>
            </w:r>
          </w:p>
        </w:tc>
        <w:tc>
          <w:tcPr>
            <w:tcW w:w="1389"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szCs w:val="21"/>
              </w:rPr>
            </w:pPr>
            <w:r>
              <w:rPr>
                <w:rFonts w:eastAsia="仿宋"/>
                <w:szCs w:val="21"/>
              </w:rPr>
              <w:t>鲲鹏工程师培训（20人/班）</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¥214,900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kern w:val="0"/>
                <w:szCs w:val="21"/>
              </w:rPr>
            </w:pPr>
            <w:r>
              <w:rPr>
                <w:rFonts w:eastAsia="仿宋"/>
                <w:kern w:val="0"/>
                <w:szCs w:val="21"/>
              </w:rPr>
              <w:t>12</w:t>
            </w:r>
          </w:p>
        </w:tc>
        <w:tc>
          <w:tcPr>
            <w:tcW w:w="1389"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鲲鹏训练营（50人/班）</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kern w:val="0"/>
                <w:szCs w:val="21"/>
              </w:rPr>
            </w:pPr>
            <w:r>
              <w:rPr>
                <w:rFonts w:eastAsia="仿宋"/>
                <w:kern w:val="0"/>
                <w:szCs w:val="21"/>
              </w:rPr>
              <w:t>13</w:t>
            </w:r>
          </w:p>
        </w:tc>
        <w:tc>
          <w:tcPr>
            <w:tcW w:w="1389"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鲲鹏高研班（20人/班）</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kern w:val="0"/>
                <w:szCs w:val="21"/>
              </w:rPr>
            </w:pPr>
            <w:r>
              <w:rPr>
                <w:rFonts w:eastAsia="仿宋"/>
                <w:kern w:val="0"/>
                <w:szCs w:val="21"/>
              </w:rPr>
              <w:t>14</w:t>
            </w:r>
          </w:p>
        </w:tc>
        <w:tc>
          <w:tcPr>
            <w:tcW w:w="1389"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鲲鹏竞赛（每个赛道）</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ab/>
            </w:r>
            <w:r>
              <w:rPr>
                <w:rFonts w:eastAsia="仿宋"/>
                <w:sz w:val="18"/>
                <w:szCs w:val="18"/>
              </w:rPr>
              <w:t>¥504,000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kern w:val="0"/>
                <w:szCs w:val="21"/>
              </w:rPr>
            </w:pPr>
            <w:r>
              <w:rPr>
                <w:rFonts w:eastAsia="仿宋"/>
                <w:kern w:val="0"/>
                <w:szCs w:val="21"/>
              </w:rPr>
              <w:t>15</w:t>
            </w:r>
          </w:p>
        </w:tc>
        <w:tc>
          <w:tcPr>
            <w:tcW w:w="1389"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鲲鹏训练营大赛基础套餐</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w:t>
            </w:r>
            <w:r>
              <w:rPr>
                <w:rFonts w:eastAsia="仿宋"/>
                <w:szCs w:val="21"/>
              </w:rPr>
              <w:t>2</w:t>
            </w:r>
            <w:r>
              <w:rPr>
                <w:rFonts w:eastAsia="仿宋"/>
                <w:sz w:val="18"/>
                <w:szCs w:val="18"/>
              </w:rPr>
              <w:t>,</w:t>
            </w:r>
            <w:r>
              <w:rPr>
                <w:rFonts w:eastAsia="仿宋"/>
                <w:szCs w:val="21"/>
              </w:rPr>
              <w:t>000</w:t>
            </w:r>
            <w:r>
              <w:rPr>
                <w:rFonts w:eastAsia="仿宋"/>
                <w:sz w:val="18"/>
                <w:szCs w:val="18"/>
              </w:rPr>
              <w:t>,</w:t>
            </w:r>
            <w:r>
              <w:rPr>
                <w:rFonts w:eastAsia="仿宋"/>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kern w:val="0"/>
                <w:szCs w:val="21"/>
              </w:rPr>
            </w:pPr>
            <w:r>
              <w:rPr>
                <w:rFonts w:eastAsia="仿宋"/>
                <w:kern w:val="0"/>
                <w:szCs w:val="21"/>
              </w:rPr>
              <w:t>16</w:t>
            </w:r>
          </w:p>
        </w:tc>
        <w:tc>
          <w:tcPr>
            <w:tcW w:w="1389"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鲲鹏训练营大赛中级套餐</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w:t>
            </w:r>
            <w:r>
              <w:rPr>
                <w:rFonts w:eastAsia="仿宋"/>
                <w:szCs w:val="21"/>
              </w:rPr>
              <w:t>2</w:t>
            </w:r>
            <w:r>
              <w:rPr>
                <w:rFonts w:eastAsia="仿宋"/>
                <w:sz w:val="18"/>
                <w:szCs w:val="18"/>
              </w:rPr>
              <w:t>,</w:t>
            </w:r>
            <w:r>
              <w:rPr>
                <w:rFonts w:eastAsia="仿宋"/>
                <w:szCs w:val="21"/>
              </w:rPr>
              <w:t>500</w:t>
            </w:r>
            <w:r>
              <w:rPr>
                <w:rFonts w:eastAsia="仿宋"/>
                <w:sz w:val="18"/>
                <w:szCs w:val="18"/>
              </w:rPr>
              <w:t>,</w:t>
            </w:r>
            <w:r>
              <w:rPr>
                <w:rFonts w:eastAsia="仿宋"/>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kern w:val="0"/>
                <w:szCs w:val="21"/>
              </w:rPr>
            </w:pPr>
            <w:r>
              <w:rPr>
                <w:rFonts w:eastAsia="仿宋"/>
                <w:kern w:val="0"/>
                <w:szCs w:val="21"/>
              </w:rPr>
              <w:t>17</w:t>
            </w:r>
          </w:p>
        </w:tc>
        <w:tc>
          <w:tcPr>
            <w:tcW w:w="1389"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4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鲲鹏训练营大赛高级套餐</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w:t>
            </w:r>
            <w:r>
              <w:rPr>
                <w:rFonts w:eastAsia="仿宋"/>
                <w:szCs w:val="21"/>
              </w:rPr>
              <w:t>3</w:t>
            </w:r>
            <w:r>
              <w:rPr>
                <w:rFonts w:eastAsia="仿宋"/>
                <w:sz w:val="18"/>
                <w:szCs w:val="18"/>
              </w:rPr>
              <w:t>,</w:t>
            </w:r>
            <w:r>
              <w:rPr>
                <w:rFonts w:eastAsia="仿宋"/>
                <w:szCs w:val="21"/>
              </w:rPr>
              <w:t>000</w:t>
            </w:r>
            <w:r>
              <w:rPr>
                <w:rFonts w:eastAsia="仿宋"/>
                <w:sz w:val="18"/>
                <w:szCs w:val="18"/>
              </w:rPr>
              <w:t>,</w:t>
            </w:r>
            <w:r>
              <w:rPr>
                <w:rFonts w:eastAsia="仿宋"/>
                <w:szCs w:val="21"/>
              </w:rPr>
              <w:t>000</w:t>
            </w:r>
          </w:p>
        </w:tc>
      </w:tr>
    </w:tbl>
    <w:p>
      <w:pPr>
        <w:widowControl/>
        <w:rPr>
          <w:rFonts w:eastAsia="微软雅黑"/>
          <w:bCs/>
          <w:sz w:val="18"/>
          <w:szCs w:val="18"/>
        </w:rPr>
      </w:pPr>
    </w:p>
    <w:p>
      <w:pPr>
        <w:snapToGrid w:val="0"/>
        <w:spacing w:line="590" w:lineRule="exact"/>
        <w:jc w:val="center"/>
        <w:rPr>
          <w:rFonts w:eastAsia="仿宋"/>
          <w:b/>
          <w:kern w:val="0"/>
          <w:sz w:val="32"/>
          <w:szCs w:val="32"/>
        </w:rPr>
      </w:pPr>
      <w:r>
        <w:rPr>
          <w:rFonts w:eastAsia="仿宋"/>
          <w:b/>
          <w:kern w:val="0"/>
          <w:sz w:val="32"/>
          <w:szCs w:val="32"/>
        </w:rPr>
        <w:t>鲲鹏生态建设补贴</w:t>
      </w:r>
    </w:p>
    <w:tbl>
      <w:tblPr>
        <w:tblStyle w:val="6"/>
        <w:tblW w:w="8221"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76"/>
        <w:gridCol w:w="4536"/>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b/>
                <w:bCs/>
                <w:szCs w:val="21"/>
              </w:rPr>
            </w:pPr>
            <w:r>
              <w:rPr>
                <w:rFonts w:eastAsia="仿宋"/>
                <w:b/>
                <w:bCs/>
                <w:szCs w:val="21"/>
              </w:rPr>
              <w:t>序号</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b/>
                <w:bCs/>
                <w:szCs w:val="21"/>
              </w:rPr>
            </w:pPr>
            <w:r>
              <w:rPr>
                <w:rFonts w:eastAsia="仿宋"/>
                <w:b/>
                <w:bCs/>
                <w:szCs w:val="21"/>
              </w:rPr>
              <w:t>服务名称</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b/>
                <w:bCs/>
                <w:szCs w:val="21"/>
              </w:rPr>
            </w:pPr>
            <w:r>
              <w:rPr>
                <w:rFonts w:eastAsia="仿宋"/>
                <w:b/>
                <w:bCs/>
                <w:szCs w:val="21"/>
              </w:rPr>
              <w:t>服务内容</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b/>
                <w:bCs/>
                <w:szCs w:val="21"/>
              </w:rPr>
            </w:pPr>
            <w:r>
              <w:rPr>
                <w:rFonts w:eastAsia="仿宋"/>
                <w:b/>
                <w:bCs/>
                <w:szCs w:val="21"/>
              </w:rPr>
              <w:t>单位</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b/>
                <w:bCs/>
                <w:szCs w:val="21"/>
              </w:rPr>
            </w:pPr>
            <w:r>
              <w:rPr>
                <w:rFonts w:eastAsia="仿宋"/>
                <w:b/>
                <w:bCs/>
                <w:szCs w:val="21"/>
              </w:rPr>
              <w:t xml:space="preserve"> 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鲲鹏生态建设补贴基础套餐</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使用解释型语言开发的应用推荐基本套餐。</w:t>
            </w:r>
          </w:p>
          <w:p>
            <w:pPr>
              <w:widowControl/>
              <w:rPr>
                <w:rFonts w:eastAsia="仿宋"/>
                <w:szCs w:val="21"/>
              </w:rPr>
            </w:pPr>
            <w:r>
              <w:rPr>
                <w:rFonts w:eastAsia="仿宋"/>
                <w:szCs w:val="21"/>
              </w:rPr>
              <w:t>推荐配置：</w:t>
            </w:r>
            <w:r>
              <w:rPr>
                <w:rFonts w:eastAsia="仿宋"/>
                <w:szCs w:val="21"/>
              </w:rPr>
              <w:br w:type="textWrapping"/>
            </w:r>
            <w:r>
              <w:rPr>
                <w:rFonts w:eastAsia="仿宋"/>
                <w:szCs w:val="21"/>
              </w:rPr>
              <w:t>虚机（8U16G  40G+100G硬盘）2台</w:t>
            </w:r>
          </w:p>
          <w:p>
            <w:pPr>
              <w:widowControl/>
              <w:rPr>
                <w:rFonts w:eastAsia="仿宋"/>
                <w:szCs w:val="21"/>
              </w:rPr>
            </w:pPr>
            <w:r>
              <w:rPr>
                <w:rFonts w:eastAsia="仿宋"/>
                <w:szCs w:val="21"/>
              </w:rPr>
              <w:t>EIP  2个</w:t>
            </w:r>
          </w:p>
          <w:p>
            <w:pPr>
              <w:widowControl/>
              <w:rPr>
                <w:rFonts w:eastAsia="仿宋"/>
                <w:szCs w:val="21"/>
              </w:rPr>
            </w:pPr>
            <w:r>
              <w:rPr>
                <w:rFonts w:eastAsia="仿宋"/>
                <w:szCs w:val="21"/>
              </w:rPr>
              <w:t>带宽（5M） 2个</w:t>
            </w:r>
          </w:p>
          <w:p>
            <w:pPr>
              <w:pStyle w:val="2"/>
              <w:widowControl/>
              <w:ind w:firstLine="0" w:firstLineChars="0"/>
            </w:pPr>
            <w:r>
              <w:rPr>
                <w:rFonts w:eastAsia="仿宋"/>
              </w:rPr>
              <w:t>VSS 1个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元/套餐包/3个月</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鲲鹏生态建设优化套餐</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使用编译型语言开发的应用或具有调优要求的伙伴推荐优化套餐。</w:t>
            </w:r>
          </w:p>
          <w:p>
            <w:pPr>
              <w:widowControl/>
              <w:rPr>
                <w:rFonts w:eastAsia="仿宋"/>
                <w:szCs w:val="21"/>
              </w:rPr>
            </w:pPr>
            <w:r>
              <w:rPr>
                <w:rFonts w:eastAsia="仿宋"/>
                <w:szCs w:val="21"/>
              </w:rPr>
              <w:t>推荐配置：</w:t>
            </w:r>
            <w:r>
              <w:rPr>
                <w:rFonts w:eastAsia="仿宋"/>
                <w:szCs w:val="21"/>
              </w:rPr>
              <w:br w:type="textWrapping"/>
            </w:r>
            <w:r>
              <w:rPr>
                <w:rFonts w:eastAsia="仿宋"/>
                <w:szCs w:val="21"/>
              </w:rPr>
              <w:t>虚机（8U16G  40G+100G硬盘）2台</w:t>
            </w:r>
          </w:p>
          <w:p>
            <w:pPr>
              <w:widowControl/>
              <w:rPr>
                <w:rFonts w:eastAsia="仿宋"/>
                <w:szCs w:val="21"/>
              </w:rPr>
            </w:pPr>
            <w:r>
              <w:rPr>
                <w:rFonts w:eastAsia="仿宋"/>
                <w:szCs w:val="21"/>
              </w:rPr>
              <w:t>EIP  2个</w:t>
            </w:r>
          </w:p>
          <w:p>
            <w:pPr>
              <w:widowControl/>
              <w:rPr>
                <w:rFonts w:eastAsia="仿宋"/>
                <w:szCs w:val="21"/>
              </w:rPr>
            </w:pPr>
            <w:r>
              <w:rPr>
                <w:rFonts w:eastAsia="仿宋"/>
                <w:szCs w:val="21"/>
              </w:rPr>
              <w:t>带宽（5M） 2个</w:t>
            </w:r>
          </w:p>
          <w:p>
            <w:pPr>
              <w:pStyle w:val="2"/>
              <w:widowControl/>
              <w:ind w:firstLine="0" w:firstLineChars="0"/>
            </w:pPr>
            <w:r>
              <w:rPr>
                <w:rFonts w:eastAsia="仿宋"/>
              </w:rPr>
              <w:t>VSS 1个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元/套餐包/6个月</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鲲鹏生态建设优化套餐</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使用高阶云服务与创新中心开展联合解决方案构建的伙伴推荐高阶套餐。</w:t>
            </w:r>
          </w:p>
          <w:p>
            <w:pPr>
              <w:widowControl/>
              <w:rPr>
                <w:rFonts w:eastAsia="仿宋"/>
                <w:szCs w:val="21"/>
              </w:rPr>
            </w:pPr>
            <w:r>
              <w:rPr>
                <w:rFonts w:eastAsia="仿宋"/>
                <w:szCs w:val="21"/>
              </w:rPr>
              <w:t>推荐配置：</w:t>
            </w:r>
            <w:r>
              <w:rPr>
                <w:rFonts w:eastAsia="仿宋"/>
                <w:szCs w:val="21"/>
              </w:rPr>
              <w:br w:type="textWrapping"/>
            </w:r>
            <w:r>
              <w:rPr>
                <w:rFonts w:eastAsia="仿宋"/>
                <w:szCs w:val="21"/>
              </w:rPr>
              <w:t>虚机（8U16G  40G+100G硬盘）2台</w:t>
            </w:r>
          </w:p>
          <w:p>
            <w:pPr>
              <w:widowControl/>
              <w:rPr>
                <w:rFonts w:eastAsia="仿宋"/>
                <w:szCs w:val="21"/>
              </w:rPr>
            </w:pPr>
            <w:r>
              <w:rPr>
                <w:rFonts w:eastAsia="仿宋"/>
                <w:szCs w:val="21"/>
              </w:rPr>
              <w:t>EIP  2个</w:t>
            </w:r>
          </w:p>
          <w:p>
            <w:pPr>
              <w:widowControl/>
              <w:rPr>
                <w:rFonts w:eastAsia="仿宋"/>
                <w:szCs w:val="21"/>
              </w:rPr>
            </w:pPr>
            <w:r>
              <w:rPr>
                <w:rFonts w:eastAsia="仿宋"/>
                <w:szCs w:val="21"/>
              </w:rPr>
              <w:t>带宽（5M） 2个</w:t>
            </w:r>
          </w:p>
          <w:p>
            <w:pPr>
              <w:widowControl/>
              <w:rPr>
                <w:rFonts w:eastAsia="仿宋"/>
                <w:szCs w:val="21"/>
              </w:rPr>
            </w:pPr>
            <w:r>
              <w:rPr>
                <w:rFonts w:eastAsia="仿宋"/>
                <w:szCs w:val="21"/>
              </w:rPr>
              <w:t>RDS_MySQL（8U16G 100G存储） 2个</w:t>
            </w:r>
          </w:p>
          <w:p>
            <w:pPr>
              <w:pStyle w:val="2"/>
              <w:widowControl/>
              <w:ind w:firstLine="0" w:firstLineChars="0"/>
            </w:pPr>
            <w:r>
              <w:rPr>
                <w:rFonts w:eastAsia="仿宋"/>
              </w:rPr>
              <w:t>VSS  1个</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元/套餐包/6个月</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2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备注：套餐无法满足需求的，可根据实际情况自由组合申报。</w:t>
            </w:r>
          </w:p>
        </w:tc>
      </w:tr>
    </w:tbl>
    <w:p>
      <w:pPr>
        <w:pStyle w:val="2"/>
        <w:widowControl/>
        <w:ind w:firstLine="0" w:firstLineChars="0"/>
      </w:pPr>
    </w:p>
    <w:p>
      <w:pPr>
        <w:snapToGrid w:val="0"/>
        <w:spacing w:line="590" w:lineRule="exact"/>
        <w:jc w:val="center"/>
        <w:rPr>
          <w:rFonts w:eastAsia="仿宋"/>
          <w:b/>
          <w:kern w:val="0"/>
          <w:sz w:val="32"/>
          <w:szCs w:val="32"/>
        </w:rPr>
      </w:pPr>
      <w:r>
        <w:rPr>
          <w:rFonts w:eastAsia="仿宋"/>
          <w:b/>
          <w:kern w:val="0"/>
          <w:sz w:val="32"/>
          <w:szCs w:val="32"/>
        </w:rPr>
        <w:t>鲲鹏示范应用补贴</w:t>
      </w:r>
    </w:p>
    <w:p>
      <w:pPr>
        <w:pStyle w:val="2"/>
        <w:widowControl/>
      </w:pPr>
    </w:p>
    <w:tbl>
      <w:tblPr>
        <w:tblStyle w:val="6"/>
        <w:tblW w:w="8642" w:type="dxa"/>
        <w:tblInd w:w="113" w:type="dxa"/>
        <w:tblLayout w:type="fixed"/>
        <w:tblCellMar>
          <w:top w:w="0" w:type="dxa"/>
          <w:left w:w="108" w:type="dxa"/>
          <w:bottom w:w="0" w:type="dxa"/>
          <w:right w:w="108" w:type="dxa"/>
        </w:tblCellMar>
      </w:tblPr>
      <w:tblGrid>
        <w:gridCol w:w="704"/>
        <w:gridCol w:w="709"/>
        <w:gridCol w:w="4961"/>
        <w:gridCol w:w="1134"/>
        <w:gridCol w:w="1134"/>
      </w:tblGrid>
      <w:tr>
        <w:tblPrEx>
          <w:tblCellMar>
            <w:top w:w="0" w:type="dxa"/>
            <w:left w:w="108" w:type="dxa"/>
            <w:bottom w:w="0" w:type="dxa"/>
            <w:right w:w="108" w:type="dxa"/>
          </w:tblCellMar>
        </w:tblPrEx>
        <w:trPr>
          <w:trHeight w:val="28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b/>
                <w:bCs/>
                <w:szCs w:val="21"/>
              </w:rPr>
            </w:pPr>
            <w:r>
              <w:rPr>
                <w:rFonts w:eastAsia="仿宋"/>
                <w:b/>
                <w:bCs/>
                <w:szCs w:val="21"/>
              </w:rPr>
              <w:t>序号</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b/>
                <w:bCs/>
                <w:szCs w:val="21"/>
              </w:rPr>
            </w:pPr>
            <w:r>
              <w:rPr>
                <w:rFonts w:eastAsia="仿宋"/>
                <w:b/>
                <w:bCs/>
                <w:szCs w:val="21"/>
              </w:rPr>
              <w:t>服务名称</w:t>
            </w:r>
          </w:p>
        </w:tc>
        <w:tc>
          <w:tcPr>
            <w:tcW w:w="4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b/>
                <w:bCs/>
                <w:szCs w:val="21"/>
              </w:rPr>
            </w:pPr>
            <w:r>
              <w:rPr>
                <w:rFonts w:eastAsia="仿宋"/>
                <w:b/>
                <w:bCs/>
                <w:szCs w:val="21"/>
              </w:rPr>
              <w:t>服务内容</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b/>
                <w:bCs/>
                <w:szCs w:val="21"/>
              </w:rPr>
            </w:pPr>
            <w:r>
              <w:rPr>
                <w:rFonts w:eastAsia="仿宋"/>
                <w:b/>
                <w:bCs/>
                <w:szCs w:val="21"/>
              </w:rPr>
              <w:t>单位</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b/>
                <w:bCs/>
                <w:szCs w:val="21"/>
              </w:rPr>
            </w:pPr>
            <w:r>
              <w:rPr>
                <w:rFonts w:eastAsia="仿宋"/>
                <w:b/>
                <w:bCs/>
                <w:szCs w:val="21"/>
              </w:rPr>
              <w:t xml:space="preserve"> 价格</w:t>
            </w:r>
          </w:p>
        </w:tc>
      </w:tr>
      <w:tr>
        <w:tblPrEx>
          <w:tblCellMar>
            <w:top w:w="0" w:type="dxa"/>
            <w:left w:w="108" w:type="dxa"/>
            <w:bottom w:w="0" w:type="dxa"/>
            <w:right w:w="108" w:type="dxa"/>
          </w:tblCellMar>
        </w:tblPrEx>
        <w:trPr>
          <w:trHeight w:val="1000" w:hRule="atLeast"/>
        </w:trPr>
        <w:tc>
          <w:tcPr>
            <w:tcW w:w="704" w:type="dxa"/>
            <w:vMerge w:val="restart"/>
            <w:tcBorders>
              <w:top w:val="nil"/>
              <w:left w:val="single" w:color="auto" w:sz="4" w:space="0"/>
              <w:bottom w:val="nil"/>
              <w:right w:val="single" w:color="auto" w:sz="4" w:space="0"/>
            </w:tcBorders>
            <w:shd w:val="clear" w:color="auto" w:fill="auto"/>
            <w:vAlign w:val="center"/>
          </w:tcPr>
          <w:p>
            <w:pPr>
              <w:widowControl/>
              <w:jc w:val="center"/>
              <w:rPr>
                <w:rFonts w:eastAsia="仿宋"/>
                <w:szCs w:val="21"/>
              </w:rPr>
            </w:pPr>
            <w:r>
              <w:rPr>
                <w:rFonts w:eastAsia="仿宋"/>
                <w:szCs w:val="21"/>
              </w:rPr>
              <w:t>1</w:t>
            </w:r>
          </w:p>
        </w:tc>
        <w:tc>
          <w:tcPr>
            <w:tcW w:w="709" w:type="dxa"/>
            <w:vMerge w:val="restart"/>
            <w:tcBorders>
              <w:top w:val="nil"/>
              <w:left w:val="nil"/>
              <w:bottom w:val="nil"/>
              <w:right w:val="single" w:color="auto" w:sz="4" w:space="0"/>
            </w:tcBorders>
            <w:shd w:val="clear" w:color="auto" w:fill="auto"/>
            <w:vAlign w:val="center"/>
          </w:tcPr>
          <w:p>
            <w:pPr>
              <w:widowControl/>
              <w:jc w:val="center"/>
              <w:rPr>
                <w:rFonts w:eastAsia="仿宋"/>
                <w:szCs w:val="21"/>
              </w:rPr>
            </w:pPr>
            <w:r>
              <w:rPr>
                <w:rFonts w:eastAsia="仿宋"/>
                <w:szCs w:val="21"/>
              </w:rPr>
              <w:t>鲲鹏</w:t>
            </w:r>
          </w:p>
          <w:p>
            <w:pPr>
              <w:widowControl/>
              <w:jc w:val="center"/>
              <w:rPr>
                <w:rFonts w:eastAsia="仿宋"/>
                <w:szCs w:val="21"/>
              </w:rPr>
            </w:pPr>
            <w:r>
              <w:rPr>
                <w:rFonts w:eastAsia="仿宋"/>
                <w:szCs w:val="21"/>
              </w:rPr>
              <w:t>示范应用补贴基础套餐</w:t>
            </w:r>
          </w:p>
        </w:tc>
        <w:tc>
          <w:tcPr>
            <w:tcW w:w="4961" w:type="dxa"/>
            <w:tcBorders>
              <w:top w:val="nil"/>
              <w:left w:val="nil"/>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套餐包自启用后一年内有效。</w:t>
            </w:r>
            <w:r>
              <w:rPr>
                <w:rFonts w:eastAsia="仿宋"/>
                <w:szCs w:val="21"/>
              </w:rPr>
              <w:br w:type="textWrapping"/>
            </w:r>
            <w:r>
              <w:rPr>
                <w:rFonts w:eastAsia="仿宋"/>
                <w:szCs w:val="21"/>
              </w:rPr>
              <w:t>1.包含8万鲲鹏云服务资源，以下内容任选：</w:t>
            </w:r>
            <w:r>
              <w:rPr>
                <w:rFonts w:eastAsia="仿宋"/>
                <w:szCs w:val="21"/>
              </w:rPr>
              <w:br w:type="textWrapping"/>
            </w:r>
            <w:r>
              <w:rPr>
                <w:rFonts w:eastAsia="仿宋"/>
                <w:szCs w:val="21"/>
              </w:rPr>
              <w:t>1) 基于鲲鹏的弹性云服务、裸金属服务、云容器引擎，以及储存、网络等服务</w:t>
            </w:r>
            <w:r>
              <w:rPr>
                <w:rFonts w:eastAsia="仿宋"/>
                <w:szCs w:val="21"/>
              </w:rPr>
              <w:br w:type="textWrapping"/>
            </w:r>
            <w:r>
              <w:rPr>
                <w:rFonts w:eastAsia="仿宋"/>
                <w:szCs w:val="21"/>
              </w:rPr>
              <w:t>2) 基于鲲鹏的文档数据库、云数据库、分布式缓存、分布式队列、分布式消息等数据库服务</w:t>
            </w:r>
          </w:p>
          <w:p>
            <w:pPr>
              <w:widowControl/>
              <w:rPr>
                <w:rFonts w:eastAsia="仿宋"/>
                <w:szCs w:val="21"/>
              </w:rPr>
            </w:pPr>
            <w:r>
              <w:rPr>
                <w:rFonts w:eastAsia="仿宋"/>
                <w:szCs w:val="21"/>
              </w:rPr>
              <w:t>3）基于鲲鹏的数据接入、云数据迁移、数据湖工厂、数据仓库、数据湖探索等服务</w:t>
            </w:r>
            <w:r>
              <w:rPr>
                <w:rFonts w:eastAsia="仿宋"/>
                <w:szCs w:val="21"/>
              </w:rPr>
              <w:br w:type="textWrapping"/>
            </w:r>
            <w:r>
              <w:rPr>
                <w:rFonts w:eastAsia="仿宋"/>
                <w:szCs w:val="21"/>
              </w:rPr>
              <w:t>4)企业主机安全、容器安全、云堡垒机、Web应用防火墙、数据库安全等相关安全服务</w:t>
            </w:r>
          </w:p>
          <w:p>
            <w:pPr>
              <w:widowControl/>
              <w:rPr>
                <w:rFonts w:eastAsia="仿宋"/>
                <w:szCs w:val="21"/>
              </w:rPr>
            </w:pPr>
            <w:r>
              <w:rPr>
                <w:rFonts w:eastAsia="仿宋"/>
                <w:szCs w:val="21"/>
              </w:rPr>
              <w:t>2.咨询服务：</w:t>
            </w:r>
          </w:p>
          <w:p>
            <w:pPr>
              <w:widowControl/>
              <w:rPr>
                <w:rFonts w:eastAsia="仿宋"/>
                <w:szCs w:val="21"/>
              </w:rPr>
            </w:pPr>
            <w:r>
              <w:rPr>
                <w:rFonts w:eastAsia="仿宋"/>
                <w:szCs w:val="21"/>
              </w:rPr>
              <w:t>1）提供鲲鹏适配迁移指导咨询服务，帮助企业梳理自身业务与大数据等服务的结合点，配置并开通合适的云服务</w:t>
            </w:r>
            <w:r>
              <w:rPr>
                <w:rFonts w:eastAsia="仿宋"/>
                <w:szCs w:val="21"/>
              </w:rPr>
              <w:br w:type="textWrapping"/>
            </w:r>
            <w:r>
              <w:rPr>
                <w:rFonts w:eastAsia="仿宋"/>
                <w:szCs w:val="21"/>
              </w:rPr>
              <w:t>2）提供5*8小时运营团队远程指导服务</w:t>
            </w:r>
          </w:p>
        </w:tc>
        <w:tc>
          <w:tcPr>
            <w:tcW w:w="1134" w:type="dxa"/>
            <w:vMerge w:val="restart"/>
            <w:tcBorders>
              <w:top w:val="nil"/>
              <w:left w:val="nil"/>
              <w:bottom w:val="nil"/>
              <w:right w:val="single" w:color="auto" w:sz="4" w:space="0"/>
            </w:tcBorders>
            <w:shd w:val="clear" w:color="auto" w:fill="auto"/>
            <w:vAlign w:val="center"/>
          </w:tcPr>
          <w:p>
            <w:pPr>
              <w:widowControl/>
              <w:rPr>
                <w:rFonts w:eastAsia="仿宋"/>
                <w:szCs w:val="21"/>
              </w:rPr>
            </w:pPr>
            <w:r>
              <w:rPr>
                <w:rFonts w:eastAsia="仿宋"/>
                <w:szCs w:val="21"/>
              </w:rPr>
              <w:t>元/套餐包/年</w:t>
            </w:r>
          </w:p>
        </w:tc>
        <w:tc>
          <w:tcPr>
            <w:tcW w:w="1134" w:type="dxa"/>
            <w:vMerge w:val="restart"/>
            <w:tcBorders>
              <w:top w:val="nil"/>
              <w:left w:val="nil"/>
              <w:bottom w:val="nil"/>
              <w:right w:val="single" w:color="auto" w:sz="4" w:space="0"/>
            </w:tcBorders>
            <w:shd w:val="clear" w:color="auto" w:fill="auto"/>
            <w:vAlign w:val="center"/>
          </w:tcPr>
          <w:p>
            <w:pPr>
              <w:widowControl/>
              <w:jc w:val="center"/>
              <w:rPr>
                <w:rFonts w:eastAsia="仿宋"/>
                <w:szCs w:val="21"/>
              </w:rPr>
            </w:pPr>
            <w:r>
              <w:rPr>
                <w:rFonts w:eastAsia="仿宋"/>
                <w:szCs w:val="21"/>
              </w:rPr>
              <w:t>¥100,000</w:t>
            </w:r>
          </w:p>
        </w:tc>
      </w:tr>
      <w:tr>
        <w:tblPrEx>
          <w:tblCellMar>
            <w:top w:w="0" w:type="dxa"/>
            <w:left w:w="108" w:type="dxa"/>
            <w:bottom w:w="0" w:type="dxa"/>
            <w:right w:w="108" w:type="dxa"/>
          </w:tblCellMar>
        </w:tblPrEx>
        <w:trPr>
          <w:trHeight w:val="1000" w:hRule="atLeast"/>
        </w:trPr>
        <w:tc>
          <w:tcPr>
            <w:tcW w:w="704" w:type="dxa"/>
            <w:vMerge w:val="continue"/>
            <w:tcBorders>
              <w:top w:val="nil"/>
              <w:left w:val="single" w:color="auto" w:sz="4" w:space="0"/>
              <w:bottom w:val="nil"/>
              <w:right w:val="single" w:color="auto" w:sz="4" w:space="0"/>
            </w:tcBorders>
            <w:shd w:val="clear" w:color="auto" w:fill="auto"/>
            <w:vAlign w:val="center"/>
          </w:tcPr>
          <w:p>
            <w:pPr>
              <w:rPr>
                <w:sz w:val="20"/>
                <w:szCs w:val="20"/>
              </w:rPr>
            </w:pPr>
          </w:p>
        </w:tc>
        <w:tc>
          <w:tcPr>
            <w:tcW w:w="709" w:type="dxa"/>
            <w:vMerge w:val="continue"/>
            <w:tcBorders>
              <w:top w:val="nil"/>
              <w:left w:val="nil"/>
              <w:bottom w:val="nil"/>
              <w:right w:val="single" w:color="auto" w:sz="4" w:space="0"/>
            </w:tcBorders>
            <w:shd w:val="clear" w:color="auto" w:fill="auto"/>
            <w:vAlign w:val="center"/>
          </w:tcPr>
          <w:p>
            <w:pPr>
              <w:rPr>
                <w:sz w:val="20"/>
                <w:szCs w:val="20"/>
              </w:rPr>
            </w:pPr>
          </w:p>
        </w:tc>
        <w:tc>
          <w:tcPr>
            <w:tcW w:w="4961" w:type="dxa"/>
            <w:tcBorders>
              <w:top w:val="nil"/>
              <w:left w:val="nil"/>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推荐配置：</w:t>
            </w:r>
            <w:r>
              <w:rPr>
                <w:rFonts w:eastAsia="仿宋"/>
                <w:szCs w:val="21"/>
              </w:rPr>
              <w:br w:type="textWrapping"/>
            </w:r>
            <w:r>
              <w:rPr>
                <w:rFonts w:eastAsia="仿宋"/>
                <w:szCs w:val="21"/>
              </w:rPr>
              <w:t>虚机（16U32G  40G+500G硬盘）8台</w:t>
            </w:r>
          </w:p>
          <w:p>
            <w:pPr>
              <w:widowControl/>
              <w:rPr>
                <w:rFonts w:eastAsia="仿宋"/>
                <w:szCs w:val="21"/>
              </w:rPr>
            </w:pPr>
            <w:r>
              <w:rPr>
                <w:rFonts w:eastAsia="仿宋"/>
                <w:szCs w:val="21"/>
              </w:rPr>
              <w:t>EIP  2个</w:t>
            </w:r>
          </w:p>
          <w:p>
            <w:pPr>
              <w:widowControl/>
              <w:rPr>
                <w:rFonts w:eastAsia="仿宋"/>
                <w:szCs w:val="21"/>
              </w:rPr>
            </w:pPr>
            <w:r>
              <w:rPr>
                <w:rFonts w:eastAsia="仿宋"/>
                <w:szCs w:val="21"/>
              </w:rPr>
              <w:t>带宽（10M） 2个</w:t>
            </w:r>
          </w:p>
          <w:p>
            <w:pPr>
              <w:widowControl/>
              <w:rPr>
                <w:rFonts w:eastAsia="仿宋"/>
                <w:szCs w:val="21"/>
              </w:rPr>
            </w:pPr>
            <w:r>
              <w:rPr>
                <w:rFonts w:eastAsia="仿宋"/>
                <w:szCs w:val="21"/>
              </w:rPr>
              <w:t>RDS_MySQL（16U32G 300G存储） 1个</w:t>
            </w:r>
          </w:p>
          <w:p>
            <w:pPr>
              <w:widowControl/>
              <w:rPr>
                <w:rFonts w:eastAsia="仿宋"/>
                <w:szCs w:val="21"/>
              </w:rPr>
            </w:pPr>
            <w:r>
              <w:rPr>
                <w:rFonts w:eastAsia="仿宋"/>
                <w:szCs w:val="21"/>
              </w:rPr>
              <w:t>OBS(500G存储)  1个</w:t>
            </w:r>
          </w:p>
        </w:tc>
        <w:tc>
          <w:tcPr>
            <w:tcW w:w="1134" w:type="dxa"/>
            <w:vMerge w:val="continue"/>
            <w:tcBorders>
              <w:top w:val="nil"/>
              <w:left w:val="nil"/>
              <w:bottom w:val="nil"/>
              <w:right w:val="single" w:color="auto" w:sz="4" w:space="0"/>
            </w:tcBorders>
            <w:shd w:val="clear" w:color="auto" w:fill="auto"/>
            <w:vAlign w:val="center"/>
          </w:tcPr>
          <w:p>
            <w:pPr>
              <w:rPr>
                <w:sz w:val="20"/>
                <w:szCs w:val="20"/>
              </w:rPr>
            </w:pPr>
          </w:p>
        </w:tc>
        <w:tc>
          <w:tcPr>
            <w:tcW w:w="1134" w:type="dxa"/>
            <w:vMerge w:val="continue"/>
            <w:tcBorders>
              <w:top w:val="nil"/>
              <w:left w:val="nil"/>
              <w:bottom w:val="nil"/>
              <w:right w:val="single" w:color="auto" w:sz="4" w:space="0"/>
            </w:tcBorders>
            <w:shd w:val="clear" w:color="auto" w:fill="auto"/>
            <w:vAlign w:val="center"/>
          </w:tcPr>
          <w:p>
            <w:pPr>
              <w:rPr>
                <w:sz w:val="20"/>
                <w:szCs w:val="20"/>
              </w:rPr>
            </w:pPr>
          </w:p>
        </w:tc>
      </w:tr>
      <w:tr>
        <w:tblPrEx>
          <w:tblCellMar>
            <w:top w:w="0" w:type="dxa"/>
            <w:left w:w="108" w:type="dxa"/>
            <w:bottom w:w="0" w:type="dxa"/>
            <w:right w:w="108" w:type="dxa"/>
          </w:tblCellMar>
        </w:tblPrEx>
        <w:trPr>
          <w:trHeight w:val="1000"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2</w:t>
            </w:r>
          </w:p>
        </w:tc>
        <w:tc>
          <w:tcPr>
            <w:tcW w:w="709" w:type="dxa"/>
            <w:vMerge w:val="restart"/>
            <w:tcBorders>
              <w:top w:val="nil"/>
              <w:left w:val="nil"/>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w:t>
            </w:r>
          </w:p>
          <w:p>
            <w:pPr>
              <w:widowControl/>
              <w:jc w:val="center"/>
              <w:rPr>
                <w:rFonts w:eastAsia="仿宋"/>
                <w:szCs w:val="21"/>
              </w:rPr>
            </w:pPr>
            <w:r>
              <w:rPr>
                <w:rFonts w:eastAsia="仿宋"/>
                <w:szCs w:val="21"/>
              </w:rPr>
              <w:t>示范应用补贴初级套餐</w:t>
            </w:r>
          </w:p>
        </w:tc>
        <w:tc>
          <w:tcPr>
            <w:tcW w:w="4961" w:type="dxa"/>
            <w:tcBorders>
              <w:top w:val="nil"/>
              <w:left w:val="nil"/>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套餐包自启用后一年内有效。</w:t>
            </w:r>
            <w:r>
              <w:rPr>
                <w:rFonts w:eastAsia="仿宋"/>
                <w:szCs w:val="21"/>
              </w:rPr>
              <w:br w:type="textWrapping"/>
            </w:r>
            <w:r>
              <w:rPr>
                <w:rFonts w:eastAsia="仿宋"/>
                <w:szCs w:val="21"/>
              </w:rPr>
              <w:t>1.包含15万鲲鹏云服务资源，以下内容任选：</w:t>
            </w:r>
            <w:r>
              <w:rPr>
                <w:rFonts w:eastAsia="仿宋"/>
                <w:szCs w:val="21"/>
              </w:rPr>
              <w:br w:type="textWrapping"/>
            </w:r>
            <w:r>
              <w:rPr>
                <w:rFonts w:eastAsia="仿宋"/>
                <w:szCs w:val="21"/>
              </w:rPr>
              <w:t>1) 基于鲲鹏的弹性云服务、裸金属服务、云容器引擎，以及储存、网络等服务</w:t>
            </w:r>
            <w:r>
              <w:rPr>
                <w:rFonts w:eastAsia="仿宋"/>
                <w:szCs w:val="21"/>
              </w:rPr>
              <w:br w:type="textWrapping"/>
            </w:r>
            <w:r>
              <w:rPr>
                <w:rFonts w:eastAsia="仿宋"/>
                <w:szCs w:val="21"/>
              </w:rPr>
              <w:t>2) 基于鲲鹏的文档数据库、云数据库、分布式缓存、分布式队列、分布式消息等数据库服务</w:t>
            </w:r>
          </w:p>
          <w:p>
            <w:pPr>
              <w:widowControl/>
              <w:rPr>
                <w:rFonts w:eastAsia="仿宋"/>
                <w:szCs w:val="21"/>
              </w:rPr>
            </w:pPr>
            <w:r>
              <w:rPr>
                <w:rFonts w:eastAsia="仿宋"/>
                <w:szCs w:val="21"/>
              </w:rPr>
              <w:t>3）基于鲲鹏的数据接入、云数据迁移、数据湖工厂、数据仓库、数据湖探索等服务</w:t>
            </w:r>
            <w:r>
              <w:rPr>
                <w:rFonts w:eastAsia="仿宋"/>
                <w:szCs w:val="21"/>
              </w:rPr>
              <w:br w:type="textWrapping"/>
            </w:r>
            <w:r>
              <w:rPr>
                <w:rFonts w:eastAsia="仿宋"/>
                <w:szCs w:val="21"/>
              </w:rPr>
              <w:t>4)企业主机安全、容器安全、云堡垒机、Web应用防火墙、数据库安全等相关安全服务</w:t>
            </w:r>
          </w:p>
          <w:p>
            <w:pPr>
              <w:widowControl/>
              <w:rPr>
                <w:rFonts w:eastAsia="仿宋"/>
                <w:szCs w:val="21"/>
              </w:rPr>
            </w:pPr>
            <w:r>
              <w:rPr>
                <w:rFonts w:eastAsia="仿宋"/>
                <w:szCs w:val="21"/>
              </w:rPr>
              <w:t>2.包含10万专家咨询服务：</w:t>
            </w:r>
          </w:p>
          <w:p>
            <w:pPr>
              <w:widowControl/>
              <w:rPr>
                <w:rFonts w:eastAsia="仿宋"/>
                <w:szCs w:val="21"/>
              </w:rPr>
            </w:pPr>
            <w:r>
              <w:rPr>
                <w:rFonts w:eastAsia="仿宋"/>
                <w:szCs w:val="21"/>
              </w:rPr>
              <w:t>1）提供鲲鹏移植专家服务-开发者级，辅助企业确定上云方案，配置并开通合适的云服务</w:t>
            </w:r>
            <w:r>
              <w:rPr>
                <w:rFonts w:eastAsia="仿宋"/>
                <w:szCs w:val="21"/>
              </w:rPr>
              <w:br w:type="textWrapping"/>
            </w:r>
            <w:r>
              <w:rPr>
                <w:rFonts w:eastAsia="仿宋"/>
                <w:szCs w:val="21"/>
              </w:rPr>
              <w:t>2）提供5*8小时运营团队远程指导服务</w:t>
            </w:r>
          </w:p>
        </w:tc>
        <w:tc>
          <w:tcPr>
            <w:tcW w:w="1134" w:type="dxa"/>
            <w:vMerge w:val="restart"/>
            <w:tcBorders>
              <w:top w:val="nil"/>
              <w:left w:val="nil"/>
              <w:bottom w:val="nil"/>
              <w:right w:val="single" w:color="auto" w:sz="4" w:space="0"/>
            </w:tcBorders>
            <w:shd w:val="clear" w:color="auto" w:fill="auto"/>
            <w:vAlign w:val="center"/>
          </w:tcPr>
          <w:p>
            <w:pPr>
              <w:widowControl/>
              <w:rPr>
                <w:rFonts w:eastAsia="仿宋"/>
                <w:szCs w:val="21"/>
              </w:rPr>
            </w:pPr>
            <w:r>
              <w:rPr>
                <w:rFonts w:eastAsia="仿宋"/>
                <w:szCs w:val="21"/>
              </w:rPr>
              <w:t>元/套餐包/年</w:t>
            </w:r>
          </w:p>
        </w:tc>
        <w:tc>
          <w:tcPr>
            <w:tcW w:w="1134" w:type="dxa"/>
            <w:vMerge w:val="restart"/>
            <w:tcBorders>
              <w:top w:val="nil"/>
              <w:left w:val="nil"/>
              <w:bottom w:val="nil"/>
              <w:right w:val="single" w:color="auto" w:sz="4" w:space="0"/>
            </w:tcBorders>
            <w:shd w:val="clear" w:color="auto" w:fill="auto"/>
            <w:vAlign w:val="center"/>
          </w:tcPr>
          <w:p>
            <w:pPr>
              <w:widowControl/>
              <w:jc w:val="center"/>
              <w:rPr>
                <w:rFonts w:eastAsia="仿宋"/>
                <w:szCs w:val="21"/>
              </w:rPr>
            </w:pPr>
            <w:r>
              <w:rPr>
                <w:rFonts w:eastAsia="仿宋"/>
                <w:szCs w:val="21"/>
              </w:rPr>
              <w:t>¥250,000</w:t>
            </w:r>
          </w:p>
        </w:tc>
      </w:tr>
      <w:tr>
        <w:tblPrEx>
          <w:tblCellMar>
            <w:top w:w="0" w:type="dxa"/>
            <w:left w:w="108" w:type="dxa"/>
            <w:bottom w:w="0" w:type="dxa"/>
            <w:right w:w="108" w:type="dxa"/>
          </w:tblCellMar>
        </w:tblPrEx>
        <w:trPr>
          <w:trHeight w:val="1000"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709" w:type="dxa"/>
            <w:vMerge w:val="continue"/>
            <w:tcBorders>
              <w:top w:val="nil"/>
              <w:left w:val="nil"/>
              <w:bottom w:val="single" w:color="auto" w:sz="4" w:space="0"/>
              <w:right w:val="single" w:color="auto" w:sz="4" w:space="0"/>
            </w:tcBorders>
            <w:shd w:val="clear" w:color="auto" w:fill="auto"/>
            <w:vAlign w:val="center"/>
          </w:tcPr>
          <w:p>
            <w:pPr>
              <w:rPr>
                <w:sz w:val="20"/>
                <w:szCs w:val="20"/>
              </w:rPr>
            </w:pPr>
          </w:p>
        </w:tc>
        <w:tc>
          <w:tcPr>
            <w:tcW w:w="4961" w:type="dxa"/>
            <w:tcBorders>
              <w:top w:val="nil"/>
              <w:left w:val="nil"/>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推荐配置：</w:t>
            </w:r>
            <w:r>
              <w:rPr>
                <w:rFonts w:eastAsia="仿宋"/>
                <w:szCs w:val="21"/>
              </w:rPr>
              <w:br w:type="textWrapping"/>
            </w:r>
            <w:r>
              <w:rPr>
                <w:rFonts w:eastAsia="仿宋"/>
                <w:szCs w:val="21"/>
              </w:rPr>
              <w:t>虚机（16U32G  40G+500G硬盘）8台</w:t>
            </w:r>
          </w:p>
          <w:p>
            <w:pPr>
              <w:widowControl/>
              <w:rPr>
                <w:rFonts w:eastAsia="仿宋"/>
                <w:szCs w:val="21"/>
              </w:rPr>
            </w:pPr>
            <w:r>
              <w:rPr>
                <w:rFonts w:eastAsia="仿宋"/>
                <w:szCs w:val="21"/>
              </w:rPr>
              <w:t>EIP  2个</w:t>
            </w:r>
          </w:p>
          <w:p>
            <w:pPr>
              <w:widowControl/>
              <w:rPr>
                <w:rFonts w:eastAsia="仿宋"/>
                <w:szCs w:val="21"/>
              </w:rPr>
            </w:pPr>
            <w:r>
              <w:rPr>
                <w:rFonts w:eastAsia="仿宋"/>
                <w:szCs w:val="21"/>
              </w:rPr>
              <w:t>带宽（20M） 2个</w:t>
            </w:r>
          </w:p>
          <w:p>
            <w:pPr>
              <w:widowControl/>
              <w:rPr>
                <w:rFonts w:eastAsia="仿宋"/>
                <w:szCs w:val="21"/>
              </w:rPr>
            </w:pPr>
            <w:r>
              <w:rPr>
                <w:rFonts w:eastAsia="仿宋"/>
                <w:szCs w:val="21"/>
              </w:rPr>
              <w:t>RDS_MySQL（16U64G 300G存储） 2个</w:t>
            </w:r>
          </w:p>
          <w:p>
            <w:pPr>
              <w:widowControl/>
              <w:rPr>
                <w:rFonts w:eastAsia="仿宋"/>
                <w:szCs w:val="21"/>
              </w:rPr>
            </w:pPr>
            <w:r>
              <w:rPr>
                <w:rFonts w:eastAsia="仿宋"/>
                <w:szCs w:val="21"/>
              </w:rPr>
              <w:t>OBS(1000G存储)  1个</w:t>
            </w:r>
          </w:p>
          <w:p>
            <w:pPr>
              <w:widowControl/>
              <w:rPr>
                <w:rFonts w:eastAsia="仿宋"/>
                <w:szCs w:val="21"/>
              </w:rPr>
            </w:pPr>
            <w:r>
              <w:rPr>
                <w:rFonts w:eastAsia="仿宋"/>
                <w:szCs w:val="21"/>
              </w:rPr>
              <w:t>CCE 1个</w:t>
            </w:r>
          </w:p>
          <w:p>
            <w:pPr>
              <w:widowControl/>
              <w:rPr>
                <w:rFonts w:eastAsia="仿宋"/>
                <w:szCs w:val="21"/>
              </w:rPr>
            </w:pPr>
            <w:r>
              <w:rPr>
                <w:rFonts w:eastAsia="仿宋"/>
                <w:szCs w:val="21"/>
              </w:rPr>
              <w:t>WAF 1个</w:t>
            </w:r>
          </w:p>
          <w:p>
            <w:pPr>
              <w:widowControl/>
              <w:rPr>
                <w:rFonts w:eastAsia="仿宋"/>
                <w:szCs w:val="21"/>
              </w:rPr>
            </w:pPr>
            <w:r>
              <w:rPr>
                <w:rFonts w:eastAsia="仿宋"/>
                <w:szCs w:val="21"/>
              </w:rPr>
              <w:t>鲲鹏移植专家服务-开发者级</w:t>
            </w:r>
          </w:p>
        </w:tc>
        <w:tc>
          <w:tcPr>
            <w:tcW w:w="1134" w:type="dxa"/>
            <w:vMerge w:val="continue"/>
            <w:tcBorders>
              <w:top w:val="nil"/>
              <w:left w:val="nil"/>
              <w:bottom w:val="nil"/>
              <w:right w:val="single" w:color="auto" w:sz="4" w:space="0"/>
            </w:tcBorders>
            <w:shd w:val="clear" w:color="auto" w:fill="auto"/>
            <w:vAlign w:val="center"/>
          </w:tcPr>
          <w:p>
            <w:pPr>
              <w:rPr>
                <w:sz w:val="20"/>
                <w:szCs w:val="20"/>
              </w:rPr>
            </w:pPr>
          </w:p>
        </w:tc>
        <w:tc>
          <w:tcPr>
            <w:tcW w:w="1134" w:type="dxa"/>
            <w:vMerge w:val="continue"/>
            <w:tcBorders>
              <w:top w:val="nil"/>
              <w:left w:val="nil"/>
              <w:bottom w:val="nil"/>
              <w:right w:val="single" w:color="auto" w:sz="4" w:space="0"/>
            </w:tcBorders>
            <w:shd w:val="clear" w:color="auto" w:fill="auto"/>
            <w:vAlign w:val="center"/>
          </w:tcPr>
          <w:p>
            <w:pPr>
              <w:rPr>
                <w:sz w:val="20"/>
                <w:szCs w:val="20"/>
              </w:rPr>
            </w:pPr>
          </w:p>
        </w:tc>
      </w:tr>
      <w:tr>
        <w:tblPrEx>
          <w:tblCellMar>
            <w:top w:w="0" w:type="dxa"/>
            <w:left w:w="108" w:type="dxa"/>
            <w:bottom w:w="0" w:type="dxa"/>
            <w:right w:w="108" w:type="dxa"/>
          </w:tblCellMar>
        </w:tblPrEx>
        <w:trPr>
          <w:trHeight w:val="1000"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3</w:t>
            </w:r>
          </w:p>
        </w:tc>
        <w:tc>
          <w:tcPr>
            <w:tcW w:w="709" w:type="dxa"/>
            <w:vMerge w:val="restart"/>
            <w:tcBorders>
              <w:top w:val="nil"/>
              <w:left w:val="nil"/>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w:t>
            </w:r>
          </w:p>
          <w:p>
            <w:pPr>
              <w:widowControl/>
              <w:jc w:val="center"/>
              <w:rPr>
                <w:rFonts w:eastAsia="仿宋"/>
                <w:szCs w:val="21"/>
              </w:rPr>
            </w:pPr>
            <w:r>
              <w:rPr>
                <w:rFonts w:eastAsia="仿宋"/>
                <w:szCs w:val="21"/>
              </w:rPr>
              <w:t>示范应用补贴中级套餐</w:t>
            </w:r>
          </w:p>
        </w:tc>
        <w:tc>
          <w:tcPr>
            <w:tcW w:w="4961" w:type="dxa"/>
            <w:tcBorders>
              <w:top w:val="nil"/>
              <w:left w:val="nil"/>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套餐包自启用后一年内有效。</w:t>
            </w:r>
            <w:r>
              <w:rPr>
                <w:rFonts w:eastAsia="仿宋"/>
                <w:szCs w:val="21"/>
              </w:rPr>
              <w:br w:type="textWrapping"/>
            </w:r>
            <w:r>
              <w:rPr>
                <w:rFonts w:eastAsia="仿宋"/>
                <w:szCs w:val="21"/>
              </w:rPr>
              <w:t>1.包含30万鲲鹏云服务资源，以下内容任选：</w:t>
            </w:r>
            <w:r>
              <w:rPr>
                <w:rFonts w:eastAsia="仿宋"/>
                <w:szCs w:val="21"/>
              </w:rPr>
              <w:br w:type="textWrapping"/>
            </w:r>
            <w:r>
              <w:rPr>
                <w:rFonts w:eastAsia="仿宋"/>
                <w:szCs w:val="21"/>
              </w:rPr>
              <w:t>1) 基于鲲鹏的弹性云服务、裸金属服务、云容器引擎，以及储存、网络等服务</w:t>
            </w:r>
            <w:r>
              <w:rPr>
                <w:rFonts w:eastAsia="仿宋"/>
                <w:szCs w:val="21"/>
              </w:rPr>
              <w:br w:type="textWrapping"/>
            </w:r>
            <w:r>
              <w:rPr>
                <w:rFonts w:eastAsia="仿宋"/>
                <w:szCs w:val="21"/>
              </w:rPr>
              <w:t>2) 基于鲲鹏的文档数据库、云数据库、分布式缓存、分布式队列、分布式消息等数据库服务</w:t>
            </w:r>
          </w:p>
          <w:p>
            <w:pPr>
              <w:widowControl/>
              <w:rPr>
                <w:rFonts w:eastAsia="仿宋"/>
                <w:szCs w:val="21"/>
              </w:rPr>
            </w:pPr>
            <w:r>
              <w:rPr>
                <w:rFonts w:eastAsia="仿宋"/>
                <w:szCs w:val="21"/>
              </w:rPr>
              <w:t>3）基于鲲鹏的数据接入、云数据迁移、数据湖工厂、数据仓库、数据湖探索等服务</w:t>
            </w:r>
            <w:r>
              <w:rPr>
                <w:rFonts w:eastAsia="仿宋"/>
                <w:szCs w:val="21"/>
              </w:rPr>
              <w:br w:type="textWrapping"/>
            </w:r>
            <w:r>
              <w:rPr>
                <w:rFonts w:eastAsia="仿宋"/>
                <w:szCs w:val="21"/>
              </w:rPr>
              <w:t>4)企业主机安全、容器安全、云堡垒机、Web应用防火墙、数据库安全等相关安全服务</w:t>
            </w:r>
          </w:p>
          <w:p>
            <w:pPr>
              <w:widowControl/>
              <w:rPr>
                <w:rFonts w:eastAsia="仿宋"/>
                <w:szCs w:val="21"/>
              </w:rPr>
            </w:pPr>
            <w:r>
              <w:rPr>
                <w:rFonts w:eastAsia="仿宋"/>
                <w:szCs w:val="21"/>
              </w:rPr>
              <w:t>2.包含10万专家咨询服务：</w:t>
            </w:r>
          </w:p>
          <w:p>
            <w:pPr>
              <w:widowControl/>
              <w:rPr>
                <w:rFonts w:eastAsia="仿宋"/>
                <w:szCs w:val="21"/>
              </w:rPr>
            </w:pPr>
            <w:r>
              <w:rPr>
                <w:rFonts w:eastAsia="仿宋"/>
                <w:szCs w:val="21"/>
              </w:rPr>
              <w:t>1）提供鲲鹏移植专家服务-开发者级，辅助企业确定上云方案，配置并开通合适的云服务</w:t>
            </w:r>
            <w:r>
              <w:rPr>
                <w:rFonts w:eastAsia="仿宋"/>
                <w:szCs w:val="21"/>
              </w:rPr>
              <w:br w:type="textWrapping"/>
            </w:r>
            <w:r>
              <w:rPr>
                <w:rFonts w:eastAsia="仿宋"/>
                <w:szCs w:val="21"/>
              </w:rPr>
              <w:t>2）提供5*8小时运营团队远程指导服务</w:t>
            </w:r>
          </w:p>
        </w:tc>
        <w:tc>
          <w:tcPr>
            <w:tcW w:w="1134" w:type="dxa"/>
            <w:vMerge w:val="restart"/>
            <w:tcBorders>
              <w:top w:val="nil"/>
              <w:left w:val="nil"/>
              <w:bottom w:val="nil"/>
              <w:right w:val="single" w:color="auto" w:sz="4" w:space="0"/>
            </w:tcBorders>
            <w:shd w:val="clear" w:color="auto" w:fill="auto"/>
            <w:vAlign w:val="center"/>
          </w:tcPr>
          <w:p>
            <w:pPr>
              <w:widowControl/>
              <w:rPr>
                <w:rFonts w:eastAsia="仿宋"/>
                <w:szCs w:val="21"/>
              </w:rPr>
            </w:pPr>
            <w:r>
              <w:rPr>
                <w:rFonts w:eastAsia="仿宋"/>
                <w:szCs w:val="21"/>
              </w:rPr>
              <w:t>元/套餐包/年</w:t>
            </w:r>
          </w:p>
        </w:tc>
        <w:tc>
          <w:tcPr>
            <w:tcW w:w="1134" w:type="dxa"/>
            <w:vMerge w:val="restart"/>
            <w:tcBorders>
              <w:top w:val="nil"/>
              <w:left w:val="nil"/>
              <w:bottom w:val="nil"/>
              <w:right w:val="single" w:color="auto" w:sz="4" w:space="0"/>
            </w:tcBorders>
            <w:shd w:val="clear" w:color="auto" w:fill="auto"/>
            <w:vAlign w:val="center"/>
          </w:tcPr>
          <w:p>
            <w:pPr>
              <w:widowControl/>
              <w:rPr>
                <w:rFonts w:eastAsia="仿宋"/>
                <w:szCs w:val="21"/>
              </w:rPr>
            </w:pPr>
            <w:r>
              <w:rPr>
                <w:rFonts w:eastAsia="仿宋"/>
                <w:szCs w:val="21"/>
              </w:rPr>
              <w:t>¥400,000</w:t>
            </w:r>
          </w:p>
        </w:tc>
      </w:tr>
      <w:tr>
        <w:tblPrEx>
          <w:tblCellMar>
            <w:top w:w="0" w:type="dxa"/>
            <w:left w:w="108" w:type="dxa"/>
            <w:bottom w:w="0" w:type="dxa"/>
            <w:right w:w="108" w:type="dxa"/>
          </w:tblCellMar>
        </w:tblPrEx>
        <w:trPr>
          <w:trHeight w:val="1000"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709" w:type="dxa"/>
            <w:vMerge w:val="continue"/>
            <w:tcBorders>
              <w:top w:val="nil"/>
              <w:left w:val="nil"/>
              <w:bottom w:val="single" w:color="auto" w:sz="4" w:space="0"/>
              <w:right w:val="single" w:color="auto" w:sz="4" w:space="0"/>
            </w:tcBorders>
            <w:shd w:val="clear" w:color="auto" w:fill="auto"/>
            <w:vAlign w:val="center"/>
          </w:tcPr>
          <w:p>
            <w:pPr>
              <w:rPr>
                <w:sz w:val="20"/>
                <w:szCs w:val="20"/>
              </w:rPr>
            </w:pPr>
          </w:p>
        </w:tc>
        <w:tc>
          <w:tcPr>
            <w:tcW w:w="4961" w:type="dxa"/>
            <w:tcBorders>
              <w:top w:val="nil"/>
              <w:left w:val="nil"/>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推荐配置：</w:t>
            </w:r>
            <w:r>
              <w:rPr>
                <w:rFonts w:eastAsia="仿宋"/>
                <w:szCs w:val="21"/>
              </w:rPr>
              <w:br w:type="textWrapping"/>
            </w:r>
            <w:r>
              <w:rPr>
                <w:rFonts w:eastAsia="仿宋"/>
                <w:szCs w:val="21"/>
              </w:rPr>
              <w:t>虚机（16U32G  40G+500G硬盘）10台</w:t>
            </w:r>
          </w:p>
          <w:p>
            <w:pPr>
              <w:widowControl/>
              <w:rPr>
                <w:rFonts w:eastAsia="仿宋"/>
                <w:szCs w:val="21"/>
              </w:rPr>
            </w:pPr>
            <w:r>
              <w:rPr>
                <w:rFonts w:eastAsia="仿宋"/>
                <w:szCs w:val="21"/>
              </w:rPr>
              <w:t>EIP  2个</w:t>
            </w:r>
          </w:p>
          <w:p>
            <w:pPr>
              <w:widowControl/>
              <w:rPr>
                <w:rFonts w:eastAsia="仿宋"/>
                <w:szCs w:val="21"/>
              </w:rPr>
            </w:pPr>
            <w:r>
              <w:rPr>
                <w:rFonts w:eastAsia="仿宋"/>
                <w:szCs w:val="21"/>
              </w:rPr>
              <w:t>带宽（20M） 2个</w:t>
            </w:r>
          </w:p>
          <w:p>
            <w:pPr>
              <w:widowControl/>
              <w:rPr>
                <w:rFonts w:eastAsia="仿宋"/>
                <w:szCs w:val="21"/>
              </w:rPr>
            </w:pPr>
            <w:r>
              <w:rPr>
                <w:rFonts w:eastAsia="仿宋"/>
                <w:szCs w:val="21"/>
              </w:rPr>
              <w:t>RDS_MySQL（16U64G 300G存储） 2个</w:t>
            </w:r>
          </w:p>
          <w:p>
            <w:pPr>
              <w:widowControl/>
              <w:rPr>
                <w:rFonts w:eastAsia="仿宋"/>
                <w:szCs w:val="21"/>
              </w:rPr>
            </w:pPr>
            <w:r>
              <w:rPr>
                <w:rFonts w:eastAsia="仿宋"/>
                <w:szCs w:val="21"/>
              </w:rPr>
              <w:t>OBS(1TB存储)  1个</w:t>
            </w:r>
          </w:p>
          <w:p>
            <w:pPr>
              <w:widowControl/>
              <w:rPr>
                <w:rFonts w:eastAsia="仿宋"/>
                <w:szCs w:val="21"/>
              </w:rPr>
            </w:pPr>
            <w:r>
              <w:rPr>
                <w:rFonts w:eastAsia="仿宋"/>
                <w:szCs w:val="21"/>
              </w:rPr>
              <w:t>CCE 1个</w:t>
            </w:r>
          </w:p>
          <w:p>
            <w:pPr>
              <w:widowControl/>
              <w:rPr>
                <w:rFonts w:eastAsia="仿宋"/>
                <w:szCs w:val="21"/>
              </w:rPr>
            </w:pPr>
            <w:r>
              <w:rPr>
                <w:rFonts w:eastAsia="仿宋"/>
                <w:szCs w:val="21"/>
              </w:rPr>
              <w:t>Waf1个</w:t>
            </w:r>
          </w:p>
          <w:p>
            <w:pPr>
              <w:widowControl/>
              <w:rPr>
                <w:rFonts w:eastAsia="仿宋"/>
                <w:szCs w:val="21"/>
              </w:rPr>
            </w:pPr>
            <w:r>
              <w:rPr>
                <w:rFonts w:eastAsia="仿宋"/>
                <w:szCs w:val="21"/>
              </w:rPr>
              <w:t>HSS、DBSS</w:t>
            </w:r>
          </w:p>
          <w:p>
            <w:pPr>
              <w:widowControl/>
              <w:rPr>
                <w:rFonts w:eastAsia="仿宋"/>
                <w:szCs w:val="21"/>
              </w:rPr>
            </w:pPr>
            <w:r>
              <w:rPr>
                <w:rFonts w:eastAsia="仿宋"/>
                <w:szCs w:val="21"/>
              </w:rPr>
              <w:t>鲲鹏移植专家服务-开发者级</w:t>
            </w:r>
          </w:p>
        </w:tc>
        <w:tc>
          <w:tcPr>
            <w:tcW w:w="1134" w:type="dxa"/>
            <w:vMerge w:val="continue"/>
            <w:tcBorders>
              <w:top w:val="nil"/>
              <w:left w:val="nil"/>
              <w:bottom w:val="nil"/>
              <w:right w:val="single" w:color="auto" w:sz="4" w:space="0"/>
            </w:tcBorders>
            <w:shd w:val="clear" w:color="auto" w:fill="auto"/>
            <w:vAlign w:val="center"/>
          </w:tcPr>
          <w:p>
            <w:pPr>
              <w:rPr>
                <w:sz w:val="20"/>
                <w:szCs w:val="20"/>
              </w:rPr>
            </w:pPr>
          </w:p>
        </w:tc>
        <w:tc>
          <w:tcPr>
            <w:tcW w:w="1134" w:type="dxa"/>
            <w:vMerge w:val="continue"/>
            <w:tcBorders>
              <w:top w:val="nil"/>
              <w:left w:val="nil"/>
              <w:bottom w:val="nil"/>
              <w:right w:val="single" w:color="auto" w:sz="4" w:space="0"/>
            </w:tcBorders>
            <w:shd w:val="clear" w:color="auto" w:fill="auto"/>
            <w:vAlign w:val="center"/>
          </w:tcPr>
          <w:p>
            <w:pPr>
              <w:rPr>
                <w:sz w:val="20"/>
                <w:szCs w:val="20"/>
              </w:rPr>
            </w:pPr>
          </w:p>
        </w:tc>
      </w:tr>
      <w:tr>
        <w:tblPrEx>
          <w:tblCellMar>
            <w:top w:w="0" w:type="dxa"/>
            <w:left w:w="108" w:type="dxa"/>
            <w:bottom w:w="0" w:type="dxa"/>
            <w:right w:w="108" w:type="dxa"/>
          </w:tblCellMar>
        </w:tblPrEx>
        <w:trPr>
          <w:trHeight w:val="1000"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4</w:t>
            </w:r>
          </w:p>
        </w:tc>
        <w:tc>
          <w:tcPr>
            <w:tcW w:w="709" w:type="dxa"/>
            <w:vMerge w:val="restart"/>
            <w:tcBorders>
              <w:top w:val="nil"/>
              <w:left w:val="nil"/>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鲲鹏</w:t>
            </w:r>
          </w:p>
          <w:p>
            <w:pPr>
              <w:widowControl/>
              <w:rPr>
                <w:rFonts w:eastAsia="仿宋"/>
                <w:szCs w:val="21"/>
              </w:rPr>
            </w:pPr>
            <w:r>
              <w:rPr>
                <w:rFonts w:eastAsia="仿宋"/>
                <w:szCs w:val="21"/>
              </w:rPr>
              <w:t>示范应用补贴高级套餐</w:t>
            </w:r>
          </w:p>
        </w:tc>
        <w:tc>
          <w:tcPr>
            <w:tcW w:w="4961" w:type="dxa"/>
            <w:tcBorders>
              <w:top w:val="nil"/>
              <w:left w:val="nil"/>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套餐包自启用后一年内有效。</w:t>
            </w:r>
            <w:r>
              <w:rPr>
                <w:rFonts w:eastAsia="仿宋"/>
                <w:szCs w:val="21"/>
              </w:rPr>
              <w:br w:type="textWrapping"/>
            </w:r>
            <w:r>
              <w:rPr>
                <w:rFonts w:eastAsia="仿宋"/>
                <w:szCs w:val="21"/>
              </w:rPr>
              <w:t>1.包含35万鲲鹏云服务资源，以下内容任选：</w:t>
            </w:r>
            <w:r>
              <w:rPr>
                <w:rFonts w:eastAsia="仿宋"/>
                <w:szCs w:val="21"/>
              </w:rPr>
              <w:br w:type="textWrapping"/>
            </w:r>
            <w:r>
              <w:rPr>
                <w:rFonts w:eastAsia="仿宋"/>
                <w:szCs w:val="21"/>
              </w:rPr>
              <w:t>1) 基于鲲鹏的弹性云服务、裸金属服务、云容器引擎，以及储存、网络等服务</w:t>
            </w:r>
            <w:r>
              <w:rPr>
                <w:rFonts w:eastAsia="仿宋"/>
                <w:szCs w:val="21"/>
              </w:rPr>
              <w:br w:type="textWrapping"/>
            </w:r>
            <w:r>
              <w:rPr>
                <w:rFonts w:eastAsia="仿宋"/>
                <w:szCs w:val="21"/>
              </w:rPr>
              <w:t>2) 基于鲲鹏的文档数据库、云数据库、分布式缓存、分布式队列、分布式消息等数据库服务</w:t>
            </w:r>
          </w:p>
          <w:p>
            <w:pPr>
              <w:widowControl/>
              <w:rPr>
                <w:rFonts w:eastAsia="仿宋"/>
                <w:szCs w:val="21"/>
              </w:rPr>
            </w:pPr>
            <w:r>
              <w:rPr>
                <w:rFonts w:eastAsia="仿宋"/>
                <w:szCs w:val="21"/>
              </w:rPr>
              <w:t>3）基于鲲鹏的数据接入、云数据迁移、数据湖工厂、数据仓库、数据湖探索等服务</w:t>
            </w:r>
            <w:r>
              <w:rPr>
                <w:rFonts w:eastAsia="仿宋"/>
                <w:szCs w:val="21"/>
              </w:rPr>
              <w:br w:type="textWrapping"/>
            </w:r>
            <w:r>
              <w:rPr>
                <w:rFonts w:eastAsia="仿宋"/>
                <w:szCs w:val="21"/>
              </w:rPr>
              <w:t>4)企业主机安全、容器安全、云堡垒机、Web应用防火墙、数据库安全等相关安全服务</w:t>
            </w:r>
          </w:p>
          <w:p>
            <w:pPr>
              <w:widowControl/>
              <w:rPr>
                <w:rFonts w:eastAsia="仿宋"/>
                <w:szCs w:val="21"/>
              </w:rPr>
            </w:pPr>
            <w:r>
              <w:rPr>
                <w:rFonts w:eastAsia="仿宋"/>
                <w:szCs w:val="21"/>
              </w:rPr>
              <w:t>2.包含20万专家咨询服务：</w:t>
            </w:r>
          </w:p>
          <w:p>
            <w:pPr>
              <w:widowControl/>
              <w:rPr>
                <w:rFonts w:eastAsia="仿宋"/>
                <w:szCs w:val="21"/>
              </w:rPr>
            </w:pPr>
            <w:r>
              <w:rPr>
                <w:rFonts w:eastAsia="仿宋"/>
                <w:szCs w:val="21"/>
              </w:rPr>
              <w:t>1）提供鲲鹏移植专家服务-企业级，辅助企业确定上云方案，配置并开通合适的云服务</w:t>
            </w:r>
          </w:p>
          <w:p>
            <w:pPr>
              <w:widowControl/>
              <w:rPr>
                <w:rFonts w:eastAsia="仿宋"/>
                <w:szCs w:val="21"/>
              </w:rPr>
            </w:pPr>
            <w:r>
              <w:rPr>
                <w:rFonts w:eastAsia="仿宋"/>
                <w:szCs w:val="21"/>
              </w:rPr>
              <w:t>2）提供5*8小时运营团队远程指导服务</w:t>
            </w:r>
          </w:p>
        </w:tc>
        <w:tc>
          <w:tcPr>
            <w:tcW w:w="1134" w:type="dxa"/>
            <w:vMerge w:val="restart"/>
            <w:tcBorders>
              <w:top w:val="nil"/>
              <w:left w:val="nil"/>
              <w:bottom w:val="nil"/>
              <w:right w:val="single" w:color="auto" w:sz="4" w:space="0"/>
            </w:tcBorders>
            <w:shd w:val="clear" w:color="auto" w:fill="auto"/>
            <w:vAlign w:val="center"/>
          </w:tcPr>
          <w:p>
            <w:pPr>
              <w:widowControl/>
              <w:rPr>
                <w:rFonts w:eastAsia="仿宋"/>
                <w:szCs w:val="21"/>
              </w:rPr>
            </w:pPr>
            <w:r>
              <w:rPr>
                <w:rFonts w:eastAsia="仿宋"/>
                <w:szCs w:val="21"/>
              </w:rPr>
              <w:t>元/套餐包/年</w:t>
            </w:r>
          </w:p>
        </w:tc>
        <w:tc>
          <w:tcPr>
            <w:tcW w:w="1134" w:type="dxa"/>
            <w:vMerge w:val="restart"/>
            <w:tcBorders>
              <w:top w:val="nil"/>
              <w:left w:val="nil"/>
              <w:bottom w:val="nil"/>
              <w:right w:val="single" w:color="auto" w:sz="4" w:space="0"/>
            </w:tcBorders>
            <w:shd w:val="clear" w:color="auto" w:fill="auto"/>
            <w:vAlign w:val="center"/>
          </w:tcPr>
          <w:p>
            <w:pPr>
              <w:widowControl/>
              <w:rPr>
                <w:rFonts w:eastAsia="仿宋"/>
                <w:szCs w:val="21"/>
              </w:rPr>
            </w:pPr>
            <w:r>
              <w:rPr>
                <w:rFonts w:eastAsia="仿宋"/>
                <w:szCs w:val="21"/>
              </w:rPr>
              <w:t>¥550,000</w:t>
            </w:r>
          </w:p>
        </w:tc>
      </w:tr>
      <w:tr>
        <w:tblPrEx>
          <w:tblCellMar>
            <w:top w:w="0" w:type="dxa"/>
            <w:left w:w="108" w:type="dxa"/>
            <w:bottom w:w="0" w:type="dxa"/>
            <w:right w:w="108" w:type="dxa"/>
          </w:tblCellMar>
        </w:tblPrEx>
        <w:trPr>
          <w:trHeight w:val="1000"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709" w:type="dxa"/>
            <w:vMerge w:val="continue"/>
            <w:tcBorders>
              <w:top w:val="nil"/>
              <w:left w:val="nil"/>
              <w:bottom w:val="single" w:color="auto" w:sz="4" w:space="0"/>
              <w:right w:val="single" w:color="auto" w:sz="4" w:space="0"/>
            </w:tcBorders>
            <w:shd w:val="clear" w:color="auto" w:fill="auto"/>
            <w:vAlign w:val="center"/>
          </w:tcPr>
          <w:p>
            <w:pPr>
              <w:rPr>
                <w:sz w:val="20"/>
                <w:szCs w:val="20"/>
              </w:rPr>
            </w:pPr>
          </w:p>
        </w:tc>
        <w:tc>
          <w:tcPr>
            <w:tcW w:w="4961"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推荐配置：</w:t>
            </w:r>
            <w:r>
              <w:rPr>
                <w:rFonts w:eastAsia="仿宋"/>
                <w:szCs w:val="21"/>
              </w:rPr>
              <w:br w:type="textWrapping"/>
            </w:r>
            <w:r>
              <w:rPr>
                <w:rFonts w:eastAsia="仿宋"/>
                <w:szCs w:val="21"/>
              </w:rPr>
              <w:t>虚机（16U32G  40G+500G硬盘）12台</w:t>
            </w:r>
          </w:p>
          <w:p>
            <w:pPr>
              <w:widowControl/>
              <w:rPr>
                <w:rFonts w:eastAsia="仿宋"/>
                <w:szCs w:val="21"/>
              </w:rPr>
            </w:pPr>
            <w:r>
              <w:rPr>
                <w:rFonts w:eastAsia="仿宋"/>
                <w:szCs w:val="21"/>
              </w:rPr>
              <w:t>EIP  2个</w:t>
            </w:r>
          </w:p>
          <w:p>
            <w:pPr>
              <w:widowControl/>
              <w:rPr>
                <w:rFonts w:eastAsia="仿宋"/>
                <w:szCs w:val="21"/>
              </w:rPr>
            </w:pPr>
            <w:r>
              <w:rPr>
                <w:rFonts w:eastAsia="仿宋"/>
                <w:szCs w:val="21"/>
              </w:rPr>
              <w:t>带宽（20M） 2个</w:t>
            </w:r>
          </w:p>
          <w:p>
            <w:pPr>
              <w:widowControl/>
              <w:rPr>
                <w:rFonts w:eastAsia="仿宋"/>
                <w:szCs w:val="21"/>
              </w:rPr>
            </w:pPr>
            <w:r>
              <w:rPr>
                <w:rFonts w:eastAsia="仿宋"/>
                <w:szCs w:val="21"/>
              </w:rPr>
              <w:t>RDS_MySQL（16U64G 300G存储） 2个</w:t>
            </w:r>
          </w:p>
          <w:p>
            <w:pPr>
              <w:widowControl/>
              <w:rPr>
                <w:rFonts w:eastAsia="仿宋"/>
                <w:szCs w:val="21"/>
              </w:rPr>
            </w:pPr>
            <w:r>
              <w:rPr>
                <w:rFonts w:eastAsia="仿宋"/>
                <w:szCs w:val="21"/>
              </w:rPr>
              <w:t>OBS(10TB存储) 1个</w:t>
            </w:r>
          </w:p>
          <w:p>
            <w:pPr>
              <w:widowControl/>
              <w:rPr>
                <w:rFonts w:eastAsia="仿宋"/>
                <w:szCs w:val="21"/>
              </w:rPr>
            </w:pPr>
            <w:r>
              <w:rPr>
                <w:rFonts w:eastAsia="仿宋"/>
                <w:szCs w:val="21"/>
              </w:rPr>
              <w:t>CCE 1个</w:t>
            </w:r>
          </w:p>
          <w:p>
            <w:pPr>
              <w:widowControl/>
              <w:rPr>
                <w:rFonts w:eastAsia="仿宋"/>
                <w:szCs w:val="21"/>
              </w:rPr>
            </w:pPr>
            <w:r>
              <w:rPr>
                <w:rFonts w:eastAsia="仿宋"/>
                <w:szCs w:val="21"/>
              </w:rPr>
              <w:t>WAF1个</w:t>
            </w:r>
          </w:p>
          <w:p>
            <w:pPr>
              <w:widowControl/>
              <w:rPr>
                <w:rFonts w:eastAsia="仿宋"/>
                <w:szCs w:val="21"/>
              </w:rPr>
            </w:pPr>
            <w:r>
              <w:rPr>
                <w:rFonts w:eastAsia="仿宋"/>
                <w:szCs w:val="21"/>
              </w:rPr>
              <w:t>HSS、DBSS</w:t>
            </w:r>
          </w:p>
          <w:p>
            <w:pPr>
              <w:widowControl/>
              <w:rPr>
                <w:rFonts w:eastAsia="仿宋"/>
                <w:szCs w:val="21"/>
              </w:rPr>
            </w:pPr>
            <w:r>
              <w:rPr>
                <w:rFonts w:eastAsia="仿宋"/>
                <w:szCs w:val="21"/>
              </w:rPr>
              <w:t>鲲鹏移植专家服务-企业级</w:t>
            </w:r>
          </w:p>
        </w:tc>
        <w:tc>
          <w:tcPr>
            <w:tcW w:w="1134" w:type="dxa"/>
            <w:vMerge w:val="continue"/>
            <w:tcBorders>
              <w:top w:val="nil"/>
              <w:left w:val="nil"/>
              <w:bottom w:val="nil"/>
              <w:right w:val="single" w:color="auto" w:sz="4" w:space="0"/>
            </w:tcBorders>
            <w:shd w:val="clear" w:color="auto" w:fill="auto"/>
            <w:vAlign w:val="center"/>
          </w:tcPr>
          <w:p>
            <w:pPr>
              <w:rPr>
                <w:sz w:val="20"/>
                <w:szCs w:val="20"/>
              </w:rPr>
            </w:pPr>
          </w:p>
        </w:tc>
        <w:tc>
          <w:tcPr>
            <w:tcW w:w="1134" w:type="dxa"/>
            <w:vMerge w:val="continue"/>
            <w:tcBorders>
              <w:top w:val="nil"/>
              <w:left w:val="nil"/>
              <w:bottom w:val="nil"/>
              <w:right w:val="single" w:color="auto" w:sz="4" w:space="0"/>
            </w:tcBorders>
            <w:shd w:val="clear" w:color="auto" w:fill="auto"/>
            <w:vAlign w:val="center"/>
          </w:tcPr>
          <w:p>
            <w:pPr>
              <w:rPr>
                <w:sz w:val="20"/>
                <w:szCs w:val="20"/>
              </w:rPr>
            </w:pPr>
          </w:p>
        </w:tc>
      </w:tr>
      <w:tr>
        <w:tblPrEx>
          <w:tblCellMar>
            <w:top w:w="0" w:type="dxa"/>
            <w:left w:w="108" w:type="dxa"/>
            <w:bottom w:w="0" w:type="dxa"/>
            <w:right w:w="108" w:type="dxa"/>
          </w:tblCellMar>
        </w:tblPrEx>
        <w:trPr>
          <w:trHeight w:val="100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5</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鲲鹏示范应用补贴增量包</w:t>
            </w:r>
          </w:p>
        </w:tc>
        <w:tc>
          <w:tcPr>
            <w:tcW w:w="4961"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增量包自启用后一年内有效。</w:t>
            </w:r>
            <w:r>
              <w:rPr>
                <w:rFonts w:eastAsia="仿宋"/>
                <w:szCs w:val="21"/>
              </w:rPr>
              <w:br w:type="textWrapping"/>
            </w:r>
            <w:r>
              <w:rPr>
                <w:rFonts w:eastAsia="仿宋"/>
                <w:szCs w:val="21"/>
              </w:rPr>
              <w:t>包含10万鲲鹏云服务资源。</w:t>
            </w:r>
          </w:p>
          <w:p>
            <w:pPr>
              <w:widowControl/>
              <w:rPr>
                <w:rFonts w:eastAsia="仿宋"/>
                <w:szCs w:val="21"/>
              </w:rPr>
            </w:pPr>
            <w:r>
              <w:rPr>
                <w:rFonts w:eastAsia="仿宋"/>
                <w:szCs w:val="21"/>
              </w:rPr>
              <w:t>使用条件：</w:t>
            </w:r>
          </w:p>
          <w:p>
            <w:pPr>
              <w:widowControl/>
              <w:rPr>
                <w:rFonts w:eastAsia="仿宋"/>
                <w:szCs w:val="21"/>
              </w:rPr>
            </w:pPr>
            <w:r>
              <w:rPr>
                <w:rFonts w:eastAsia="仿宋"/>
                <w:szCs w:val="21"/>
              </w:rPr>
              <w:t>1.此增量包须搭配其它任一套餐使用，可叠加使用。</w:t>
            </w:r>
          </w:p>
          <w:p>
            <w:pPr>
              <w:widowControl/>
              <w:rPr>
                <w:rFonts w:eastAsia="仿宋"/>
                <w:szCs w:val="21"/>
              </w:rPr>
            </w:pPr>
            <w:r>
              <w:rPr>
                <w:rFonts w:eastAsia="仿宋"/>
                <w:szCs w:val="21"/>
              </w:rPr>
              <w:t>2.此增量包不能用于新增的鲲鹏云服务，只能用于提升之前已选择的鲲鹏云服务，如增加之前已选择鲲鹏服务的规格，时长等。</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元/套餐包/年</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¥100,000</w:t>
            </w:r>
          </w:p>
        </w:tc>
      </w:tr>
      <w:tr>
        <w:tblPrEx>
          <w:tblCellMar>
            <w:top w:w="0" w:type="dxa"/>
            <w:left w:w="108" w:type="dxa"/>
            <w:bottom w:w="0" w:type="dxa"/>
            <w:right w:w="108" w:type="dxa"/>
          </w:tblCellMar>
        </w:tblPrEx>
        <w:trPr>
          <w:trHeight w:val="100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6</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鲲鹏生态解决方案</w:t>
            </w:r>
          </w:p>
        </w:tc>
        <w:tc>
          <w:tcPr>
            <w:tcW w:w="4961"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包含华为云上鲲鹏严选自营或鲲鹏联运解决方案。</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元/方案</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参考官网</w:t>
            </w:r>
          </w:p>
        </w:tc>
      </w:tr>
      <w:tr>
        <w:tblPrEx>
          <w:tblCellMar>
            <w:top w:w="0" w:type="dxa"/>
            <w:left w:w="108" w:type="dxa"/>
            <w:bottom w:w="0" w:type="dxa"/>
            <w:right w:w="108" w:type="dxa"/>
          </w:tblCellMar>
        </w:tblPrEx>
        <w:trPr>
          <w:trHeight w:val="1000" w:hRule="atLeast"/>
        </w:trPr>
        <w:tc>
          <w:tcPr>
            <w:tcW w:w="86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备注：套餐无法满足需求的，可根据实际情况自由组合申报。</w:t>
            </w:r>
          </w:p>
        </w:tc>
      </w:tr>
    </w:tbl>
    <w:p>
      <w:pPr>
        <w:pStyle w:val="2"/>
        <w:widowControl/>
        <w:ind w:firstLine="0" w:firstLineChars="0"/>
      </w:pPr>
    </w:p>
    <w:p>
      <w:pPr>
        <w:pStyle w:val="2"/>
        <w:widowControl/>
        <w:ind w:firstLine="0" w:firstLineChars="0"/>
      </w:pPr>
    </w:p>
    <w:p>
      <w:pPr>
        <w:snapToGrid w:val="0"/>
        <w:spacing w:line="590" w:lineRule="exact"/>
        <w:jc w:val="center"/>
        <w:rPr>
          <w:rFonts w:eastAsia="仿宋"/>
          <w:b/>
          <w:kern w:val="0"/>
          <w:sz w:val="32"/>
          <w:szCs w:val="32"/>
        </w:rPr>
      </w:pPr>
      <w:r>
        <w:rPr>
          <w:rFonts w:eastAsia="仿宋"/>
          <w:b/>
          <w:kern w:val="0"/>
          <w:sz w:val="32"/>
          <w:szCs w:val="32"/>
        </w:rPr>
        <w:t>鲲鹏人才培养补贴</w:t>
      </w:r>
    </w:p>
    <w:p>
      <w:pPr>
        <w:pStyle w:val="5"/>
        <w:ind w:firstLine="420" w:firstLineChars="200"/>
        <w:rPr>
          <w:sz w:val="21"/>
          <w:szCs w:val="21"/>
        </w:rPr>
      </w:pP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4678"/>
        <w:gridCol w:w="127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b/>
                <w:bCs/>
                <w:szCs w:val="21"/>
              </w:rPr>
            </w:pPr>
            <w:r>
              <w:rPr>
                <w:rFonts w:eastAsia="仿宋"/>
                <w:b/>
                <w:bCs/>
                <w:szCs w:val="21"/>
              </w:rPr>
              <w:t>序号</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b/>
                <w:bCs/>
                <w:szCs w:val="21"/>
              </w:rPr>
            </w:pPr>
            <w:r>
              <w:rPr>
                <w:rFonts w:eastAsia="仿宋"/>
                <w:b/>
                <w:bCs/>
                <w:szCs w:val="21"/>
              </w:rPr>
              <w:t>服务名称</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b/>
                <w:bCs/>
                <w:szCs w:val="21"/>
              </w:rPr>
            </w:pPr>
            <w:r>
              <w:rPr>
                <w:rFonts w:eastAsia="仿宋"/>
                <w:b/>
                <w:bCs/>
                <w:szCs w:val="21"/>
              </w:rPr>
              <w:t>服务内容</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b/>
                <w:bCs/>
                <w:szCs w:val="21"/>
              </w:rPr>
            </w:pPr>
            <w:r>
              <w:rPr>
                <w:rFonts w:eastAsia="仿宋"/>
                <w:b/>
                <w:bCs/>
                <w:szCs w:val="21"/>
              </w:rPr>
              <w:t>单位</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b/>
                <w:bCs/>
                <w:szCs w:val="21"/>
              </w:rPr>
            </w:pPr>
            <w:r>
              <w:rPr>
                <w:rFonts w:eastAsia="仿宋"/>
                <w:b/>
                <w:bCs/>
                <w:szCs w:val="21"/>
              </w:rPr>
              <w:t xml:space="preserve"> 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课程建设补贴基础套餐</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提供鲲鹏体系课程的讲师培训服务。培训鲲鹏核心基础课程，任选一个方向：</w:t>
            </w:r>
          </w:p>
          <w:p>
            <w:pPr>
              <w:widowControl/>
              <w:rPr>
                <w:rFonts w:eastAsia="仿宋"/>
                <w:szCs w:val="21"/>
              </w:rPr>
            </w:pPr>
            <w:r>
              <w:rPr>
                <w:rFonts w:eastAsia="仿宋"/>
                <w:szCs w:val="21"/>
              </w:rPr>
              <w:t>鲲鹏云服务基础方向、鲲鹏迁移和灾备方向、鲲鹏大数据应用基础方向、鲲鹏应用开发与移植方向、鲲鹏系统运维方向等。</w:t>
            </w:r>
          </w:p>
          <w:p>
            <w:pPr>
              <w:widowControl/>
              <w:rPr>
                <w:rFonts w:eastAsia="仿宋"/>
                <w:szCs w:val="21"/>
              </w:rPr>
            </w:pPr>
            <w:r>
              <w:rPr>
                <w:rFonts w:eastAsia="仿宋"/>
                <w:szCs w:val="21"/>
              </w:rPr>
              <w:t>每个方向里面有配套的理论和实训课程，128课时左右，并提供专业讲师授课，包含实践课程培训云资源。</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元/套餐包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课程建设补贴中级套餐</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提供鲲鹏体系课程的讲师培训服务、HCIA认证培训、高级讲师服务。具体如下</w:t>
            </w:r>
          </w:p>
          <w:p>
            <w:pPr>
              <w:widowControl/>
              <w:rPr>
                <w:rFonts w:eastAsia="仿宋"/>
                <w:szCs w:val="21"/>
              </w:rPr>
            </w:pPr>
            <w:r>
              <w:rPr>
                <w:rFonts w:eastAsia="仿宋"/>
                <w:szCs w:val="21"/>
              </w:rPr>
              <w:t>1）培训鲲鹏核心基础课程，任选一个方向：</w:t>
            </w:r>
          </w:p>
          <w:p>
            <w:pPr>
              <w:widowControl/>
              <w:rPr>
                <w:rFonts w:eastAsia="仿宋"/>
                <w:szCs w:val="21"/>
              </w:rPr>
            </w:pPr>
            <w:r>
              <w:rPr>
                <w:rFonts w:eastAsia="仿宋"/>
                <w:szCs w:val="21"/>
              </w:rPr>
              <w:t>鲲鹏云服务基础方向、鲲鹏迁移和灾备方向、鲲鹏大数据应用基础方向、鲲鹏应用开发与移植方向、鲲鹏系统运维方向等。</w:t>
            </w:r>
          </w:p>
          <w:p>
            <w:pPr>
              <w:widowControl/>
              <w:rPr>
                <w:rFonts w:eastAsia="仿宋"/>
                <w:szCs w:val="21"/>
              </w:rPr>
            </w:pPr>
            <w:r>
              <w:rPr>
                <w:rFonts w:eastAsia="仿宋"/>
                <w:szCs w:val="21"/>
              </w:rPr>
              <w:t>每个方向里面有配套的理论和实训课程，128课时左右，并提供专业讲师授课，包含实践课程培训云资源。</w:t>
            </w:r>
          </w:p>
          <w:p>
            <w:pPr>
              <w:widowControl/>
              <w:rPr>
                <w:rFonts w:eastAsia="仿宋"/>
                <w:szCs w:val="21"/>
              </w:rPr>
            </w:pPr>
            <w:r>
              <w:rPr>
                <w:rFonts w:eastAsia="仿宋"/>
                <w:szCs w:val="21"/>
              </w:rPr>
              <w:t>2）提供5天的HCIA认证培训，包含鲲鹏云核心产品课程（12节）、解决方案课程（6节）、场景化应用实践课程（12节）、讲师指导实验（8个）。</w:t>
            </w:r>
          </w:p>
          <w:p>
            <w:pPr>
              <w:pStyle w:val="5"/>
              <w:rPr>
                <w:rFonts w:eastAsia="仿宋"/>
                <w:sz w:val="21"/>
                <w:szCs w:val="21"/>
              </w:rPr>
            </w:pPr>
            <w:r>
              <w:rPr>
                <w:rFonts w:eastAsia="仿宋"/>
                <w:sz w:val="21"/>
                <w:szCs w:val="21"/>
              </w:rPr>
              <w:t>3）提供8天华为认证高级讲师服务，为高校提供鲲鹏课程体系授课服务或者定制课程服务。</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元/套餐包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3</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课程建设补贴高级套餐</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szCs w:val="21"/>
              </w:rPr>
            </w:pPr>
            <w:r>
              <w:rPr>
                <w:rFonts w:eastAsia="仿宋"/>
                <w:szCs w:val="21"/>
              </w:rPr>
              <w:t>帮助高校构建鲲鹏产业人才培养体系以及学分制系统性教学方案。包括专业基础课、专业核心课、认证课程以及项目案例实训课程(openEuler操作系统基础、GaussDB数据库基础、鲲鹏公有云服务技术与应用、鲲鹏云容器技术与应用、HCIA-Kunpeng Application Developer 鲲鹏应用开发与迁移、鲲鹏应用综合案例-大中型企业OA系统搭建、鲲鹏应用综合案例-百万级日志分析系统搭建)等7门鲲鹏高校学科建设课程，总共包含344课时，其中实验课时不低于199课时，鲲鹏实训平台和课程资源可使用2年。鲲鹏专家人才培养服务供给128课时，培训时长16天，最大培训师生不超过100人。</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元/套餐包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鲲鹏工程师培训（20人/班）</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华为鲲鹏培训定位于鲲鹏体系、基础理论知识及应用能力的普及，旨在推动鲲鹏人才的培养，培养能应用华为鲲鹏服务进行开发、创新的专业人才。</w:t>
            </w:r>
            <w:r>
              <w:rPr>
                <w:rFonts w:eastAsia="仿宋"/>
                <w:szCs w:val="21"/>
              </w:rPr>
              <w:br w:type="textWrapping"/>
            </w:r>
            <w:r>
              <w:rPr>
                <w:rFonts w:eastAsia="仿宋"/>
                <w:szCs w:val="21"/>
              </w:rPr>
              <w:t>面向开发者/架构师等提供鲲鹏架构生态介绍，ARM技术基础知识介绍，从X86迁移至ARM的理论与实战，计算、存储、网络等应用场景和使用管理介绍，架构设计基础介绍及实战，解决方案精选，了解鲲鹏云上各类云服务的应用场景及使用方法，掌握在鲲鹏云上设计、配置、编译、测试、部署、发布的应用开发能力。配套20张华为云鲲鹏工程师HCIA考试券。</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元/班/次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 w:val="18"/>
                <w:szCs w:val="18"/>
              </w:rPr>
              <w:t>¥214,900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5</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鲲鹏训练营(50人/班)</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为客户提供鲲鹏训练营公开课课程设计、课程开发及讲师服务。每班50人以内，提供不少于5天的讲师服务。</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元/班/次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 w:val="18"/>
                <w:szCs w:val="18"/>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鲲鹏高研班（20人/班）</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面向企业高管、园区领导，高校领导的鲲鹏生态体系战略培训提供基于鲲鹏战略、数字化转型的高端培训。</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元/班/次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 w:val="18"/>
                <w:szCs w:val="18"/>
              </w:rPr>
              <w:t>¥250,000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7</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鲲鹏竞赛</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基于华为云鲲鹏云服务、解决方案和生态体系，提供应用竞赛设计、竞赛赛题、评分标准和专家评委服务（50人以内/1赛道）。</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元/次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 w:val="18"/>
                <w:szCs w:val="18"/>
              </w:rPr>
              <w:t>¥504,000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鲲鹏训练营大赛基础套餐</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提供2场鲲鹏训练培训，组织100人为期5天的鲲鹏产业发展趋势、鲲鹏适配迁移等鲲鹏技术体系培训，提供1个赛道鲲鹏竞赛服务，包含为开展鲲鹏训练营、鲲鹏竞赛所需要的鲲鹏云资源。</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元/套餐包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 w:val="18"/>
                <w:szCs w:val="18"/>
              </w:rPr>
              <w:t>¥</w:t>
            </w:r>
            <w:r>
              <w:rPr>
                <w:rFonts w:eastAsia="仿宋"/>
                <w:szCs w:val="21"/>
              </w:rPr>
              <w:t>2</w:t>
            </w:r>
            <w:r>
              <w:rPr>
                <w:rFonts w:eastAsia="仿宋"/>
                <w:sz w:val="18"/>
                <w:szCs w:val="18"/>
              </w:rPr>
              <w:t>,</w:t>
            </w:r>
            <w:r>
              <w:rPr>
                <w:rFonts w:eastAsia="仿宋"/>
                <w:szCs w:val="21"/>
              </w:rPr>
              <w:t>000</w:t>
            </w:r>
            <w:r>
              <w:rPr>
                <w:rFonts w:eastAsia="仿宋"/>
                <w:sz w:val="18"/>
                <w:szCs w:val="18"/>
              </w:rPr>
              <w:t>,</w:t>
            </w:r>
            <w:r>
              <w:rPr>
                <w:rFonts w:eastAsia="仿宋"/>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9</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鲲鹏训练营大赛中级套餐</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提供3场鲲鹏训练培训，组织150人为期5天的鲲鹏产业发展趋势、鲲鹏适配迁移等鲲鹏技术体系培训，提供1个赛道鲲鹏竞赛服务，包含为开展鲲鹏训练营、鲲鹏竞赛所需要的鲲鹏云资源。</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元/套餐包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 w:val="18"/>
                <w:szCs w:val="18"/>
              </w:rPr>
              <w:t>¥</w:t>
            </w:r>
            <w:r>
              <w:rPr>
                <w:rFonts w:eastAsia="仿宋"/>
                <w:szCs w:val="21"/>
              </w:rPr>
              <w:t>2</w:t>
            </w:r>
            <w:r>
              <w:rPr>
                <w:rFonts w:eastAsia="仿宋"/>
                <w:sz w:val="18"/>
                <w:szCs w:val="18"/>
              </w:rPr>
              <w:t>,</w:t>
            </w:r>
            <w:r>
              <w:rPr>
                <w:rFonts w:eastAsia="仿宋"/>
                <w:szCs w:val="21"/>
              </w:rPr>
              <w:t>500</w:t>
            </w:r>
            <w:r>
              <w:rPr>
                <w:rFonts w:eastAsia="仿宋"/>
                <w:sz w:val="18"/>
                <w:szCs w:val="18"/>
              </w:rPr>
              <w:t>,</w:t>
            </w:r>
            <w:r>
              <w:rPr>
                <w:rFonts w:eastAsia="仿宋"/>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10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Cs w:val="21"/>
              </w:rPr>
            </w:pPr>
            <w:r>
              <w:rPr>
                <w:rFonts w:eastAsia="仿宋"/>
                <w:szCs w:val="21"/>
              </w:rPr>
              <w:t>鲲鹏训练营大赛高级套餐</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提供4场鲲鹏训练培训，组织200人为期5天的鲲鹏产业发展趋势、鲲鹏适配迁移等鲲鹏技术体系培训，提供1个赛道鲲鹏竞赛服务，包含为开展鲲鹏训练营、鲲鹏竞赛所需要的鲲鹏云资源。</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Cs w:val="21"/>
              </w:rPr>
              <w:t>元/套餐包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Cs w:val="21"/>
              </w:rPr>
            </w:pPr>
            <w:r>
              <w:rPr>
                <w:rFonts w:eastAsia="仿宋"/>
                <w:sz w:val="18"/>
                <w:szCs w:val="18"/>
              </w:rPr>
              <w:t>¥</w:t>
            </w:r>
            <w:r>
              <w:rPr>
                <w:rFonts w:eastAsia="仿宋"/>
                <w:szCs w:val="21"/>
              </w:rPr>
              <w:t>3</w:t>
            </w:r>
            <w:r>
              <w:rPr>
                <w:rFonts w:eastAsia="仿宋"/>
                <w:sz w:val="18"/>
                <w:szCs w:val="18"/>
              </w:rPr>
              <w:t>,</w:t>
            </w:r>
            <w:r>
              <w:rPr>
                <w:rFonts w:eastAsia="仿宋"/>
                <w:szCs w:val="21"/>
              </w:rPr>
              <w:t>000</w:t>
            </w:r>
            <w:r>
              <w:rPr>
                <w:rFonts w:eastAsia="仿宋"/>
                <w:sz w:val="18"/>
                <w:szCs w:val="18"/>
              </w:rPr>
              <w:t>,</w:t>
            </w:r>
            <w:r>
              <w:rPr>
                <w:rFonts w:eastAsia="仿宋"/>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6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 w:val="18"/>
                <w:szCs w:val="18"/>
              </w:rPr>
            </w:pPr>
            <w:r>
              <w:rPr>
                <w:rFonts w:eastAsia="仿宋"/>
                <w:szCs w:val="21"/>
              </w:rPr>
              <w:t>备注：套餐无法满足需求的，可根据实际情况自由组合申报。</w:t>
            </w:r>
          </w:p>
        </w:tc>
      </w:tr>
    </w:tbl>
    <w:p>
      <w:pPr>
        <w:pStyle w:val="5"/>
        <w:rPr>
          <w:rFonts w:eastAsia="微软雅黑"/>
          <w:bCs/>
          <w:sz w:val="18"/>
          <w:szCs w:val="18"/>
        </w:rPr>
      </w:pPr>
    </w:p>
    <w:p>
      <w:pPr>
        <w:pStyle w:val="3"/>
        <w:keepNext w:val="0"/>
        <w:widowControl/>
        <w:rPr>
          <w:rFonts w:ascii="Times New Roman" w:hAnsi="Times New Roman" w:eastAsia="方正黑体_GBK"/>
          <w:b w:val="0"/>
          <w:bCs/>
        </w:rPr>
      </w:pPr>
      <w:r>
        <w:rPr>
          <w:rFonts w:ascii="Times New Roman" w:hAnsi="Times New Roman" w:eastAsia="方正黑体_GBK"/>
          <w:b w:val="0"/>
          <w:bCs/>
        </w:rPr>
        <w:t>1学习类鲲鹏云服务</w:t>
      </w:r>
    </w:p>
    <w:p>
      <w:pPr>
        <w:pStyle w:val="4"/>
        <w:keepNext w:val="0"/>
        <w:rPr>
          <w:rFonts w:ascii="Times New Roman" w:hAnsi="Times New Roman" w:eastAsia="方正黑体_GBK"/>
          <w:szCs w:val="28"/>
        </w:rPr>
      </w:pPr>
      <w:r>
        <w:rPr>
          <w:rFonts w:ascii="Times New Roman" w:hAnsi="Times New Roman" w:eastAsia="方正黑体_GBK"/>
          <w:szCs w:val="28"/>
        </w:rPr>
        <w:t>1.1鲲鹏工程师培训</w:t>
      </w:r>
    </w:p>
    <w:tbl>
      <w:tblPr>
        <w:tblStyle w:val="6"/>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972"/>
        <w:gridCol w:w="2742"/>
        <w:gridCol w:w="2326"/>
        <w:gridCol w:w="733"/>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序号</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服务产品名称</w:t>
            </w:r>
          </w:p>
        </w:tc>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产品规格</w:t>
            </w:r>
          </w:p>
        </w:tc>
        <w:tc>
          <w:tcPr>
            <w:tcW w:w="2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配置说明</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单位</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单价(RMB/班)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1</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华为云鲲鹏工程师培训</w:t>
            </w:r>
            <w:r>
              <w:rPr>
                <w:rFonts w:eastAsia="仿宋GB_2312"/>
                <w:sz w:val="18"/>
                <w:szCs w:val="18"/>
              </w:rPr>
              <w:br w:type="textWrapping"/>
            </w:r>
            <w:r>
              <w:rPr>
                <w:rFonts w:eastAsia="仿宋GB_2312"/>
                <w:sz w:val="18"/>
                <w:szCs w:val="18"/>
              </w:rPr>
              <w:t>（20人/班）</w:t>
            </w:r>
          </w:p>
        </w:tc>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华为鲲鹏培训定位于鲲鹏体系、基础理论知识及应用能力的普及，旨在推动鲲鹏人才的培养，培养能应用华为鲲鹏服务进行开发、创新的专业人才。</w:t>
            </w:r>
            <w:r>
              <w:rPr>
                <w:rFonts w:eastAsia="仿宋GB_2312"/>
                <w:sz w:val="18"/>
                <w:szCs w:val="18"/>
              </w:rPr>
              <w:br w:type="textWrapping"/>
            </w:r>
            <w:r>
              <w:rPr>
                <w:rFonts w:eastAsia="仿宋GB_2312"/>
                <w:sz w:val="18"/>
                <w:szCs w:val="18"/>
              </w:rPr>
              <w:t>面向开发者/架构师等提供鲲鹏架构生态介绍，ARM技术基础知识介绍，从X86迁移至ARM的理论与实战，计算、存储、网络等应用场景和使用管理介绍，架构设计基础介绍及实战，解决方案精选，了解鲲鹏云上各类云服务的应用场景及使用方法，掌握在鲲鹏云上设计、配置、编译、测试、部署、发布的应用开发能力。</w:t>
            </w:r>
          </w:p>
        </w:tc>
        <w:tc>
          <w:tcPr>
            <w:tcW w:w="2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b/>
                <w:sz w:val="18"/>
                <w:szCs w:val="18"/>
              </w:rPr>
              <w:t>面授服务:</w:t>
            </w:r>
            <w:r>
              <w:rPr>
                <w:rFonts w:eastAsia="仿宋GB_2312"/>
                <w:sz w:val="18"/>
                <w:szCs w:val="18"/>
              </w:rPr>
              <w:br w:type="textWrapping"/>
            </w:r>
            <w:r>
              <w:rPr>
                <w:rFonts w:eastAsia="仿宋GB_2312"/>
                <w:sz w:val="18"/>
                <w:szCs w:val="18"/>
              </w:rPr>
              <w:t>提供为期5天的培训服务，包括：</w:t>
            </w:r>
            <w:r>
              <w:rPr>
                <w:rFonts w:eastAsia="仿宋GB_2312"/>
                <w:sz w:val="18"/>
                <w:szCs w:val="18"/>
              </w:rPr>
              <w:br w:type="textWrapping"/>
            </w:r>
            <w:r>
              <w:rPr>
                <w:rFonts w:eastAsia="仿宋GB_2312"/>
                <w:sz w:val="18"/>
                <w:szCs w:val="18"/>
              </w:rPr>
              <w:t>1.开班仪式（可选）：例如领导发言、大咖开场等。</w:t>
            </w:r>
            <w:r>
              <w:rPr>
                <w:rFonts w:eastAsia="仿宋GB_2312"/>
                <w:sz w:val="18"/>
                <w:szCs w:val="18"/>
              </w:rPr>
              <w:br w:type="textWrapping"/>
            </w:r>
            <w:r>
              <w:rPr>
                <w:rFonts w:eastAsia="仿宋GB_2312"/>
                <w:sz w:val="18"/>
                <w:szCs w:val="18"/>
              </w:rPr>
              <w:t>2.课程：鲲鹏云核心产品课程（12节）、解决方案课程（6节）、场景化应用实践课程（12节）。</w:t>
            </w:r>
            <w:r>
              <w:rPr>
                <w:rFonts w:eastAsia="仿宋GB_2312"/>
                <w:sz w:val="18"/>
                <w:szCs w:val="18"/>
              </w:rPr>
              <w:br w:type="textWrapping"/>
            </w:r>
            <w:r>
              <w:rPr>
                <w:rFonts w:eastAsia="仿宋GB_2312"/>
                <w:sz w:val="18"/>
                <w:szCs w:val="18"/>
              </w:rPr>
              <w:t>3.实验：讲师指导实验（8个）。</w:t>
            </w:r>
            <w:r>
              <w:rPr>
                <w:rFonts w:eastAsia="仿宋GB_2312"/>
                <w:sz w:val="18"/>
                <w:szCs w:val="18"/>
              </w:rPr>
              <w:br w:type="textWrapping"/>
            </w:r>
            <w:r>
              <w:rPr>
                <w:rFonts w:eastAsia="仿宋GB_2312"/>
                <w:sz w:val="18"/>
                <w:szCs w:val="18"/>
              </w:rPr>
              <w:t>说明：</w:t>
            </w:r>
            <w:r>
              <w:rPr>
                <w:rFonts w:eastAsia="仿宋GB_2312"/>
                <w:sz w:val="18"/>
                <w:szCs w:val="18"/>
              </w:rPr>
              <w:br w:type="textWrapping"/>
            </w:r>
            <w:r>
              <w:rPr>
                <w:rFonts w:eastAsia="仿宋GB_2312"/>
                <w:sz w:val="18"/>
                <w:szCs w:val="18"/>
              </w:rPr>
              <w:t>1.每场限20人以内</w:t>
            </w:r>
            <w:r>
              <w:rPr>
                <w:rFonts w:eastAsia="仿宋GB_2312"/>
                <w:sz w:val="18"/>
                <w:szCs w:val="18"/>
              </w:rPr>
              <w:br w:type="textWrapping"/>
            </w:r>
            <w:r>
              <w:rPr>
                <w:rFonts w:eastAsia="仿宋GB_2312"/>
                <w:sz w:val="18"/>
                <w:szCs w:val="18"/>
              </w:rPr>
              <w:t>2.支持客户所在地或培训中心培训</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元/班/次</w:t>
            </w:r>
          </w:p>
        </w:tc>
        <w:tc>
          <w:tcPr>
            <w:tcW w:w="1197"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 xml:space="preserve"> 214,900.00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华为云鲲鹏工程师认证考试</w:t>
            </w:r>
          </w:p>
        </w:tc>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华为云鲲鹏工程师培训配套HCIA考试券（200USD/张）</w:t>
            </w:r>
          </w:p>
        </w:tc>
        <w:tc>
          <w:tcPr>
            <w:tcW w:w="2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每个培训班20人，培训完成每人发放考试券，不单独收费</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人次</w:t>
            </w:r>
          </w:p>
        </w:tc>
        <w:tc>
          <w:tcPr>
            <w:tcW w:w="1197"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2</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华为大数据工程师培训(20人/班)</w:t>
            </w:r>
          </w:p>
        </w:tc>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定位于培养系统理解大数据架构、技术原理，熟练掌握华为云鲲鹏大数据平台MRS服务方案，同时具备大数据平台部署和运维管理能力的工程师。</w:t>
            </w:r>
          </w:p>
          <w:p>
            <w:pPr>
              <w:widowControl/>
              <w:rPr>
                <w:rFonts w:eastAsia="仿宋GB_2312"/>
                <w:sz w:val="18"/>
                <w:szCs w:val="18"/>
              </w:rPr>
            </w:pPr>
            <w:r>
              <w:rPr>
                <w:rFonts w:eastAsia="仿宋GB_2312"/>
                <w:sz w:val="18"/>
                <w:szCs w:val="18"/>
              </w:rPr>
              <w:t>内容包括：大数据发展趋势与鲲鹏大数据；常用大数据组件技术原理及应用：HDFS分布式文件系统与Zookeeper，Hive分布式数据仓库，HBase技术原理，MapReduce和Yarn技术原理，Spark基于内存的分布式计算，Flink流计算处理和批处理平台，Flume海量日志聚合，Loader数据转换，Kafka分布式消息订阅系统，Hadoop基础技术-Kerberos&amp;LDAP，Elasticsearch分布式搜索引擎；Redis内存数据库；华为大数据解决方案介绍；基于华为云上大数据组件的实战演练以及大数据综合应用实战。</w:t>
            </w:r>
          </w:p>
        </w:tc>
        <w:tc>
          <w:tcPr>
            <w:tcW w:w="2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b/>
                <w:sz w:val="18"/>
                <w:szCs w:val="18"/>
              </w:rPr>
              <w:t>面授服务:</w:t>
            </w:r>
            <w:r>
              <w:rPr>
                <w:rFonts w:eastAsia="仿宋GB_2312"/>
                <w:sz w:val="18"/>
                <w:szCs w:val="18"/>
              </w:rPr>
              <w:br w:type="textWrapping"/>
            </w:r>
            <w:r>
              <w:rPr>
                <w:rFonts w:eastAsia="仿宋GB_2312"/>
                <w:sz w:val="18"/>
                <w:szCs w:val="18"/>
              </w:rPr>
              <w:t>提供为期5天的培训服务，包括：</w:t>
            </w:r>
            <w:r>
              <w:rPr>
                <w:rFonts w:eastAsia="仿宋GB_2312"/>
                <w:sz w:val="18"/>
                <w:szCs w:val="18"/>
              </w:rPr>
              <w:br w:type="textWrapping"/>
            </w:r>
            <w:r>
              <w:rPr>
                <w:rFonts w:eastAsia="仿宋GB_2312"/>
                <w:sz w:val="18"/>
                <w:szCs w:val="18"/>
              </w:rPr>
              <w:t>1.开班仪式（可选）：例如领导发言、大咖开场等。</w:t>
            </w:r>
            <w:r>
              <w:rPr>
                <w:rFonts w:eastAsia="仿宋GB_2312"/>
                <w:sz w:val="18"/>
                <w:szCs w:val="18"/>
              </w:rPr>
              <w:br w:type="textWrapping"/>
            </w:r>
            <w:r>
              <w:rPr>
                <w:rFonts w:eastAsia="仿宋GB_2312"/>
                <w:sz w:val="18"/>
                <w:szCs w:val="18"/>
              </w:rPr>
              <w:t>2.课程：大数据发展趋势与鲲鹏大数据（1节）、常用大数据组件技术原理及应用（12节）、华为大数据解决方案课程（1节）。</w:t>
            </w:r>
            <w:r>
              <w:rPr>
                <w:rFonts w:eastAsia="仿宋GB_2312"/>
                <w:sz w:val="18"/>
                <w:szCs w:val="18"/>
              </w:rPr>
              <w:br w:type="textWrapping"/>
            </w:r>
            <w:r>
              <w:rPr>
                <w:rFonts w:eastAsia="仿宋GB_2312"/>
                <w:sz w:val="18"/>
                <w:szCs w:val="18"/>
              </w:rPr>
              <w:t>3.实验：讲师指导实验（5个），时长2.5天。</w:t>
            </w:r>
            <w:r>
              <w:rPr>
                <w:rFonts w:eastAsia="仿宋GB_2312"/>
                <w:sz w:val="18"/>
                <w:szCs w:val="18"/>
              </w:rPr>
              <w:br w:type="textWrapping"/>
            </w:r>
            <w:r>
              <w:rPr>
                <w:rFonts w:eastAsia="仿宋GB_2312"/>
                <w:sz w:val="18"/>
                <w:szCs w:val="18"/>
              </w:rPr>
              <w:t>说明：</w:t>
            </w:r>
            <w:r>
              <w:rPr>
                <w:rFonts w:eastAsia="仿宋GB_2312"/>
                <w:sz w:val="18"/>
                <w:szCs w:val="18"/>
              </w:rPr>
              <w:br w:type="textWrapping"/>
            </w:r>
            <w:r>
              <w:rPr>
                <w:rFonts w:eastAsia="仿宋GB_2312"/>
                <w:sz w:val="18"/>
                <w:szCs w:val="18"/>
              </w:rPr>
              <w:t>1.每场限20人以内</w:t>
            </w:r>
            <w:r>
              <w:rPr>
                <w:rFonts w:eastAsia="仿宋GB_2312"/>
                <w:sz w:val="18"/>
                <w:szCs w:val="18"/>
              </w:rPr>
              <w:br w:type="textWrapping"/>
            </w:r>
            <w:r>
              <w:rPr>
                <w:rFonts w:eastAsia="仿宋GB_2312"/>
                <w:sz w:val="18"/>
                <w:szCs w:val="18"/>
              </w:rPr>
              <w:t>2.支持客户所在地或培训中心培训</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元/班/次</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214,900.00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3</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6"/>
                <w:szCs w:val="16"/>
              </w:rPr>
              <w:t xml:space="preserve">BoostKit 鲲鹏应用使能套件实训课 </w:t>
            </w:r>
          </w:p>
        </w:tc>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b/>
                <w:bCs/>
                <w:sz w:val="18"/>
                <w:szCs w:val="18"/>
              </w:rPr>
            </w:pPr>
            <w:r>
              <w:rPr>
                <w:rFonts w:eastAsia="仿宋GB_2312"/>
                <w:sz w:val="16"/>
                <w:szCs w:val="16"/>
              </w:rPr>
              <w:t>以实验操作为主、理论授课为辅的形式，帮助学员快速掌握相应技术产品的实操技能。培训BoostKit应用使能套件，包括：加速库/大数据/数据库/分布式存储/Web/ARM原生/虚拟化等技术原理、方案架构、特性优势、调优方法，以及应用案例，并提供操作演练的沙箱实验。</w:t>
            </w:r>
          </w:p>
        </w:tc>
        <w:tc>
          <w:tcPr>
            <w:tcW w:w="2537" w:type="dxa"/>
            <w:tcBorders>
              <w:top w:val="single" w:color="auto" w:sz="4" w:space="0"/>
              <w:left w:val="single" w:color="auto" w:sz="4" w:space="0"/>
              <w:bottom w:val="single" w:color="auto" w:sz="4" w:space="0"/>
              <w:right w:val="single" w:color="auto" w:sz="4" w:space="0"/>
            </w:tcBorders>
            <w:shd w:val="clear" w:color="auto" w:fill="auto"/>
          </w:tcPr>
          <w:p>
            <w:pPr>
              <w:widowControl/>
              <w:rPr>
                <w:rFonts w:eastAsia="仿宋GB_2312"/>
                <w:sz w:val="16"/>
                <w:szCs w:val="16"/>
              </w:rPr>
            </w:pPr>
            <w:r>
              <w:rPr>
                <w:rFonts w:eastAsia="仿宋GB_2312"/>
                <w:b/>
                <w:bCs/>
                <w:sz w:val="16"/>
                <w:szCs w:val="16"/>
              </w:rPr>
              <w:t>面授服务：</w:t>
            </w:r>
            <w:r>
              <w:rPr>
                <w:rFonts w:eastAsia="仿宋GB_2312"/>
                <w:sz w:val="16"/>
                <w:szCs w:val="16"/>
              </w:rPr>
              <w:br w:type="textWrapping"/>
            </w:r>
            <w:r>
              <w:rPr>
                <w:rFonts w:eastAsia="仿宋GB_2312"/>
                <w:sz w:val="16"/>
                <w:szCs w:val="16"/>
              </w:rPr>
              <w:t>提供为期2天的面授培训，每班不超过30人。支持客户所在地或培训中心培训。</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微软雅黑"/>
                <w:sz w:val="18"/>
                <w:szCs w:val="18"/>
              </w:rPr>
            </w:pPr>
            <w:r>
              <w:rPr>
                <w:rFonts w:eastAsia="微软雅黑"/>
                <w:sz w:val="16"/>
                <w:szCs w:val="16"/>
              </w:rPr>
              <w:t>每班</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微软雅黑"/>
                <w:sz w:val="18"/>
                <w:szCs w:val="18"/>
              </w:rPr>
            </w:pPr>
            <w:r>
              <w:rPr>
                <w:rFonts w:eastAsia="微软雅黑"/>
                <w:sz w:val="16"/>
                <w:szCs w:val="16"/>
              </w:rPr>
              <w:t>115,584.00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4</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rPr>
                <w:rFonts w:eastAsia="仿宋GB_2312"/>
                <w:sz w:val="16"/>
                <w:szCs w:val="16"/>
              </w:rPr>
              <w:t>DevKit 鲲鹏</w:t>
            </w:r>
          </w:p>
          <w:p>
            <w:pPr>
              <w:widowControl/>
              <w:jc w:val="center"/>
              <w:rPr>
                <w:rFonts w:eastAsia="仿宋GB_2312"/>
                <w:sz w:val="18"/>
                <w:szCs w:val="18"/>
              </w:rPr>
            </w:pPr>
            <w:r>
              <w:rPr>
                <w:rFonts w:eastAsia="仿宋GB_2312"/>
                <w:sz w:val="16"/>
                <w:szCs w:val="16"/>
              </w:rPr>
              <w:t>开发套件实训课</w:t>
            </w:r>
          </w:p>
        </w:tc>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b/>
                <w:bCs/>
                <w:sz w:val="18"/>
                <w:szCs w:val="18"/>
              </w:rPr>
            </w:pPr>
            <w:r>
              <w:rPr>
                <w:rFonts w:eastAsia="仿宋GB_2312"/>
                <w:sz w:val="16"/>
                <w:szCs w:val="16"/>
              </w:rPr>
              <w:t>鲲鹏实训课以实验操作为主、理论授课为辅的形式，帮助学员快速掌握相应技术产品的实操技能。培训DevKit鲲鹏开发套件，包括：分析扫描工具、代码迁移工具、性能调优工具、指令翻译工具Exagear、IDE的安装部署、工具特性，以及应用案例，并提供操作演练的沙箱实验。</w:t>
            </w:r>
          </w:p>
        </w:tc>
        <w:tc>
          <w:tcPr>
            <w:tcW w:w="2537" w:type="dxa"/>
            <w:tcBorders>
              <w:top w:val="single" w:color="auto" w:sz="4" w:space="0"/>
              <w:left w:val="single" w:color="auto" w:sz="4" w:space="0"/>
              <w:bottom w:val="single" w:color="auto" w:sz="4" w:space="0"/>
              <w:right w:val="single" w:color="auto" w:sz="4" w:space="0"/>
            </w:tcBorders>
            <w:shd w:val="clear" w:color="auto" w:fill="auto"/>
          </w:tcPr>
          <w:p>
            <w:pPr>
              <w:widowControl/>
              <w:rPr>
                <w:rFonts w:eastAsia="仿宋GB_2312"/>
                <w:sz w:val="16"/>
                <w:szCs w:val="16"/>
              </w:rPr>
            </w:pPr>
            <w:r>
              <w:rPr>
                <w:rFonts w:eastAsia="仿宋GB_2312"/>
                <w:b/>
                <w:bCs/>
                <w:sz w:val="16"/>
                <w:szCs w:val="16"/>
              </w:rPr>
              <w:t>面授服务：</w:t>
            </w:r>
            <w:r>
              <w:rPr>
                <w:rFonts w:eastAsia="仿宋GB_2312"/>
                <w:sz w:val="16"/>
                <w:szCs w:val="16"/>
              </w:rPr>
              <w:br w:type="textWrapping"/>
            </w:r>
            <w:r>
              <w:rPr>
                <w:rFonts w:eastAsia="仿宋GB_2312"/>
                <w:sz w:val="16"/>
                <w:szCs w:val="16"/>
              </w:rPr>
              <w:t>提供为期2天的面授培训，每班不超过30人。支持客户所在地或培训中心培训。</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微软雅黑"/>
                <w:sz w:val="18"/>
                <w:szCs w:val="18"/>
              </w:rPr>
            </w:pPr>
            <w:r>
              <w:rPr>
                <w:rFonts w:eastAsia="微软雅黑"/>
                <w:sz w:val="16"/>
                <w:szCs w:val="16"/>
              </w:rPr>
              <w:t>每班</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微软雅黑"/>
                <w:sz w:val="18"/>
                <w:szCs w:val="18"/>
              </w:rPr>
            </w:pPr>
            <w:r>
              <w:rPr>
                <w:rFonts w:eastAsia="微软雅黑"/>
                <w:sz w:val="16"/>
                <w:szCs w:val="16"/>
              </w:rPr>
              <w:t>115,584.00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5</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rPr>
                <w:rFonts w:eastAsia="仿宋GB_2312"/>
                <w:sz w:val="16"/>
                <w:szCs w:val="16"/>
              </w:rPr>
              <w:t>openEuler操作系统工程师培训</w:t>
            </w:r>
          </w:p>
        </w:tc>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6"/>
                <w:szCs w:val="16"/>
              </w:rPr>
            </w:pPr>
            <w:r>
              <w:rPr>
                <w:rFonts w:eastAsia="仿宋GB_2312"/>
                <w:sz w:val="16"/>
                <w:szCs w:val="16"/>
              </w:rPr>
              <w:t>提供社区开源操作系统openEuler入门及基础操作与管理的培训，包括openEuler操作系统入门基础、操作系统安装、基础命令、用户及权限管理、网络和服务管理、软件管理、shell基础、文件系统与存储管理等内容，使学员具备企业数据中心核心操作系统基础操作与管理能力。课程支撑openEuler工程师HCIA认证。</w:t>
            </w:r>
          </w:p>
        </w:tc>
        <w:tc>
          <w:tcPr>
            <w:tcW w:w="2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b/>
                <w:sz w:val="16"/>
                <w:szCs w:val="16"/>
              </w:rPr>
            </w:pPr>
            <w:r>
              <w:rPr>
                <w:rFonts w:eastAsia="仿宋GB_2312"/>
                <w:b/>
                <w:sz w:val="16"/>
                <w:szCs w:val="16"/>
              </w:rPr>
              <w:t>面授服务：</w:t>
            </w:r>
          </w:p>
          <w:p>
            <w:pPr>
              <w:widowControl/>
              <w:rPr>
                <w:rFonts w:eastAsia="仿宋GB_2312"/>
                <w:b/>
                <w:sz w:val="16"/>
                <w:szCs w:val="16"/>
              </w:rPr>
            </w:pPr>
            <w:r>
              <w:rPr>
                <w:rFonts w:eastAsia="仿宋GB_2312"/>
                <w:sz w:val="16"/>
                <w:szCs w:val="16"/>
              </w:rPr>
              <w:t>提供为期5天的面授培训，每班不超过16人。支持客户所在地或培训中心培训。</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rPr>
                <w:rFonts w:eastAsia="仿宋GB_2312"/>
                <w:sz w:val="18"/>
                <w:szCs w:val="18"/>
              </w:rPr>
              <w:t>每班</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rPr>
                <w:rFonts w:eastAsia="仿宋GB_2312"/>
                <w:sz w:val="16"/>
                <w:szCs w:val="16"/>
              </w:rPr>
              <w:t>206,400.00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6</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rPr>
                <w:rFonts w:eastAsia="仿宋GB_2312"/>
                <w:sz w:val="16"/>
                <w:szCs w:val="16"/>
              </w:rPr>
              <w:t>HCIA-openGauss 华为认证数据库工程师培训</w:t>
            </w:r>
          </w:p>
        </w:tc>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6"/>
                <w:szCs w:val="16"/>
              </w:rPr>
            </w:pPr>
            <w:r>
              <w:rPr>
                <w:rFonts w:eastAsia="仿宋GB_2312"/>
                <w:sz w:val="16"/>
                <w:szCs w:val="16"/>
              </w:rPr>
              <w:t>华为认证HCIA-openGauss定位于培养与认证具备数据库基础运维和开发能力的工程师。通过HCIA-openGauss认证，将证明您已经掌握数据库的基础知识、openGauss数据库的基础架构和生态，华为云数据库GaussDB(for openGauss)的组网形态、企业特性、应用场景等知识，具备使用openGauss数据库支撑企业业务、部署和运维的能力，能够胜任数据库开发/运维工程师、售前/售后工程师等岗位。</w:t>
            </w:r>
          </w:p>
        </w:tc>
        <w:tc>
          <w:tcPr>
            <w:tcW w:w="2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b/>
                <w:sz w:val="16"/>
                <w:szCs w:val="16"/>
              </w:rPr>
            </w:pPr>
            <w:r>
              <w:rPr>
                <w:rFonts w:eastAsia="仿宋GB_2312"/>
                <w:b/>
                <w:sz w:val="16"/>
                <w:szCs w:val="16"/>
              </w:rPr>
              <w:t>面授服务：</w:t>
            </w:r>
          </w:p>
          <w:p>
            <w:pPr>
              <w:widowControl/>
              <w:rPr>
                <w:rFonts w:eastAsia="仿宋GB_2312"/>
                <w:sz w:val="16"/>
                <w:szCs w:val="16"/>
              </w:rPr>
            </w:pPr>
            <w:r>
              <w:rPr>
                <w:rFonts w:eastAsia="仿宋GB_2312"/>
                <w:sz w:val="16"/>
                <w:szCs w:val="16"/>
              </w:rPr>
              <w:t>提供为期5天的面授培训，每班不超过16人。支持客户所在地或培训中心培训。</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rPr>
                <w:rFonts w:eastAsia="仿宋GB_2312"/>
                <w:sz w:val="18"/>
                <w:szCs w:val="18"/>
              </w:rPr>
              <w:t>每班</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rPr>
                <w:rFonts w:eastAsia="仿宋GB_2312"/>
                <w:sz w:val="16"/>
                <w:szCs w:val="16"/>
              </w:rPr>
              <w:t>206,400.00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7</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rPr>
                <w:rFonts w:eastAsia="仿宋GB_2312"/>
                <w:sz w:val="16"/>
                <w:szCs w:val="16"/>
              </w:rPr>
              <w:t>HCIA-OpenEuler华为认证openEuler系统工程师考试卷</w:t>
            </w:r>
          </w:p>
        </w:tc>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6"/>
                <w:szCs w:val="16"/>
              </w:rPr>
            </w:pPr>
            <w:r>
              <w:rPr>
                <w:rFonts w:eastAsia="仿宋GB_2312"/>
                <w:sz w:val="16"/>
                <w:szCs w:val="16"/>
              </w:rPr>
              <w:t>HCIA-OpenEuler华为认证openEuler系统工程师考试卷培套考券</w:t>
            </w:r>
          </w:p>
        </w:tc>
        <w:tc>
          <w:tcPr>
            <w:tcW w:w="2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6"/>
                <w:szCs w:val="16"/>
              </w:rPr>
            </w:pPr>
            <w:r>
              <w:rPr>
                <w:rFonts w:eastAsia="仿宋GB_2312"/>
                <w:sz w:val="16"/>
                <w:szCs w:val="16"/>
              </w:rPr>
              <w:t>建议按每班20张考试券配置。课程配套HCIA-OpenEuler考试券。</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rPr>
                <w:rFonts w:eastAsia="仿宋GB_2312"/>
                <w:sz w:val="16"/>
                <w:szCs w:val="16"/>
              </w:rPr>
              <w:t>每张考券</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rPr>
                <w:rFonts w:eastAsia="仿宋GB_2312"/>
                <w:sz w:val="16"/>
                <w:szCs w:val="16"/>
              </w:rPr>
              <w:t>1,400.00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8</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rPr>
                <w:rFonts w:eastAsia="仿宋GB_2312"/>
                <w:sz w:val="16"/>
                <w:szCs w:val="16"/>
              </w:rPr>
              <w:t>HCIA-openGauss 华为认证数据库工程师培训考试券</w:t>
            </w:r>
          </w:p>
        </w:tc>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6"/>
                <w:szCs w:val="16"/>
              </w:rPr>
            </w:pPr>
            <w:r>
              <w:rPr>
                <w:rFonts w:eastAsia="仿宋GB_2312"/>
                <w:sz w:val="16"/>
                <w:szCs w:val="16"/>
              </w:rPr>
              <w:t>HCIA-openGauss 华为认证数据库工程师培训配套考券</w:t>
            </w:r>
          </w:p>
        </w:tc>
        <w:tc>
          <w:tcPr>
            <w:tcW w:w="2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6"/>
                <w:szCs w:val="16"/>
              </w:rPr>
            </w:pPr>
            <w:r>
              <w:rPr>
                <w:rFonts w:eastAsia="仿宋GB_2312"/>
                <w:sz w:val="16"/>
                <w:szCs w:val="16"/>
              </w:rPr>
              <w:t>建议按每班20张考试券配置。HCIA-openGauss 华为认证数据库工程师培训配套考券</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rPr>
                <w:rFonts w:eastAsia="仿宋GB_2312"/>
                <w:sz w:val="16"/>
                <w:szCs w:val="16"/>
              </w:rPr>
              <w:t>每张考券</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rPr>
                <w:rFonts w:eastAsia="仿宋GB_2312"/>
                <w:sz w:val="16"/>
                <w:szCs w:val="16"/>
              </w:rPr>
              <w:t>1,400.00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9</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fldChar w:fldCharType="begin"/>
            </w:r>
            <w:r>
              <w:instrText xml:space="preserve"> HYPERLINK "https://bbs.huaweicloud.com/forum/thread-54910-1-1.html" </w:instrText>
            </w:r>
            <w:r>
              <w:fldChar w:fldCharType="separate"/>
            </w:r>
            <w:r>
              <w:rPr>
                <w:rStyle w:val="8"/>
                <w:rFonts w:eastAsia="仿宋GB_2312"/>
                <w:color w:val="auto"/>
                <w:szCs w:val="21"/>
              </w:rPr>
              <w:t xml:space="preserve">HCIA-Kunpeng Application Developer </w:t>
            </w:r>
            <w:r>
              <w:rPr>
                <w:rStyle w:val="8"/>
                <w:rFonts w:eastAsia="仿宋GB_2312"/>
                <w:color w:val="auto"/>
                <w:szCs w:val="21"/>
              </w:rPr>
              <w:fldChar w:fldCharType="end"/>
            </w:r>
          </w:p>
          <w:p>
            <w:pPr>
              <w:widowControl/>
              <w:jc w:val="center"/>
              <w:rPr>
                <w:rFonts w:eastAsia="仿宋GB_2312"/>
                <w:bCs/>
                <w:szCs w:val="21"/>
                <w:shd w:val="clear" w:color="auto" w:fill="FFFFFF"/>
              </w:rPr>
            </w:pPr>
            <w:r>
              <w:rPr>
                <w:rFonts w:eastAsia="仿宋GB_2312"/>
                <w:sz w:val="16"/>
                <w:szCs w:val="16"/>
              </w:rPr>
              <w:t>华为认证鲲鹏应用开发工程师培训</w:t>
            </w:r>
          </w:p>
          <w:p>
            <w:pPr>
              <w:widowControl/>
              <w:jc w:val="center"/>
              <w:rPr>
                <w:rFonts w:eastAsia="仿宋GB_2312"/>
                <w:sz w:val="16"/>
                <w:szCs w:val="16"/>
              </w:rPr>
            </w:pPr>
            <w:r>
              <w:rPr>
                <w:rFonts w:eastAsia="仿宋GB_2312"/>
                <w:sz w:val="16"/>
                <w:szCs w:val="16"/>
              </w:rPr>
              <w:t>考试券</w:t>
            </w:r>
          </w:p>
        </w:tc>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Cs/>
                <w:szCs w:val="21"/>
                <w:shd w:val="clear" w:color="auto" w:fill="FFFFFF"/>
              </w:rPr>
            </w:pPr>
            <w:r>
              <w:rPr>
                <w:rFonts w:eastAsia="仿宋GB_2312"/>
                <w:sz w:val="16"/>
                <w:szCs w:val="16"/>
              </w:rPr>
              <w:t>HCIA-Kunpeng Application Developer华为认证鲲鹏应用开发工程师培训配套考券</w:t>
            </w:r>
          </w:p>
        </w:tc>
        <w:tc>
          <w:tcPr>
            <w:tcW w:w="2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6"/>
                <w:szCs w:val="16"/>
              </w:rPr>
            </w:pPr>
            <w:r>
              <w:rPr>
                <w:rFonts w:eastAsia="仿宋GB_2312"/>
                <w:sz w:val="16"/>
                <w:szCs w:val="16"/>
              </w:rPr>
              <w:t>建议按每班16张考试券配置。HCIA-openGauss 华为认证数据库工程师培训配套考券</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rPr>
                <w:rFonts w:eastAsia="仿宋GB_2312"/>
                <w:sz w:val="16"/>
                <w:szCs w:val="16"/>
              </w:rPr>
              <w:t>每张考券</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rPr>
                <w:rFonts w:eastAsia="仿宋GB_2312"/>
                <w:sz w:val="16"/>
                <w:szCs w:val="16"/>
              </w:rPr>
              <w:t>1,400.00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10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fldChar w:fldCharType="begin"/>
            </w:r>
            <w:r>
              <w:instrText xml:space="preserve"> HYPERLINK "https://bbs.huaweicloud.com/forum/thread-54910-1-1.html" </w:instrText>
            </w:r>
            <w:r>
              <w:fldChar w:fldCharType="separate"/>
            </w:r>
            <w:r>
              <w:rPr>
                <w:rStyle w:val="8"/>
                <w:rFonts w:eastAsia="仿宋GB_2312"/>
                <w:color w:val="auto"/>
                <w:szCs w:val="21"/>
              </w:rPr>
              <w:t xml:space="preserve">HCIP-Kunpeng Application Developer </w:t>
            </w:r>
            <w:r>
              <w:rPr>
                <w:rStyle w:val="8"/>
                <w:rFonts w:eastAsia="仿宋GB_2312"/>
                <w:color w:val="auto"/>
                <w:szCs w:val="21"/>
              </w:rPr>
              <w:fldChar w:fldCharType="end"/>
            </w:r>
            <w:r>
              <w:rPr>
                <w:rFonts w:eastAsia="仿宋GB_2312"/>
                <w:sz w:val="16"/>
                <w:szCs w:val="16"/>
              </w:rPr>
              <w:t>华为认证鲲鹏应用开发高级工程师培训考试券</w:t>
            </w:r>
          </w:p>
        </w:tc>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6"/>
                <w:szCs w:val="16"/>
              </w:rPr>
            </w:pPr>
            <w:r>
              <w:fldChar w:fldCharType="begin"/>
            </w:r>
            <w:r>
              <w:instrText xml:space="preserve"> HYPERLINK "https://bbs.huaweicloud.com/forum/thread-54910-1-1.html" </w:instrText>
            </w:r>
            <w:r>
              <w:fldChar w:fldCharType="separate"/>
            </w:r>
            <w:r>
              <w:rPr>
                <w:rStyle w:val="8"/>
                <w:rFonts w:eastAsia="仿宋GB_2312"/>
                <w:color w:val="auto"/>
                <w:szCs w:val="21"/>
              </w:rPr>
              <w:t xml:space="preserve">HCIP-Kunpeng Application Developer </w:t>
            </w:r>
            <w:r>
              <w:rPr>
                <w:rStyle w:val="8"/>
                <w:rFonts w:eastAsia="仿宋GB_2312"/>
                <w:color w:val="auto"/>
                <w:szCs w:val="21"/>
              </w:rPr>
              <w:fldChar w:fldCharType="end"/>
            </w:r>
            <w:r>
              <w:rPr>
                <w:rFonts w:eastAsia="仿宋GB_2312"/>
                <w:sz w:val="16"/>
                <w:szCs w:val="16"/>
              </w:rPr>
              <w:t>华为认证鲲鹏应用开发高级工程师培训配套考试券</w:t>
            </w:r>
          </w:p>
        </w:tc>
        <w:tc>
          <w:tcPr>
            <w:tcW w:w="2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6"/>
                <w:szCs w:val="16"/>
              </w:rPr>
            </w:pPr>
            <w:r>
              <w:rPr>
                <w:rFonts w:eastAsia="仿宋GB_2312"/>
                <w:sz w:val="16"/>
                <w:szCs w:val="16"/>
              </w:rPr>
              <w:t>建议按每班16张考试券配置。HCIA-openGauss 华为认证数据库工程师培训配套考券</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rPr>
                <w:rFonts w:eastAsia="仿宋GB_2312"/>
                <w:sz w:val="16"/>
                <w:szCs w:val="16"/>
              </w:rPr>
              <w:t>每张考券</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6"/>
                <w:szCs w:val="16"/>
              </w:rPr>
            </w:pPr>
            <w:r>
              <w:rPr>
                <w:rFonts w:eastAsia="仿宋GB_2312"/>
                <w:sz w:val="16"/>
                <w:szCs w:val="16"/>
              </w:rPr>
              <w:t>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11</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鲲鹏微认证系列</w:t>
            </w:r>
          </w:p>
        </w:tc>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微认证属于华为云认证体系，聚焦于场景化、技术能力的全在线（学习、实验、考试、认证）轻量级培训认证服务；</w:t>
            </w:r>
          </w:p>
          <w:p>
            <w:pPr>
              <w:widowControl/>
              <w:rPr>
                <w:rFonts w:eastAsia="仿宋GB_2312"/>
                <w:sz w:val="18"/>
                <w:szCs w:val="18"/>
              </w:rPr>
            </w:pPr>
            <w:r>
              <w:rPr>
                <w:rFonts w:eastAsia="仿宋GB_2312"/>
                <w:sz w:val="18"/>
                <w:szCs w:val="18"/>
              </w:rPr>
              <w:t>每个微认证服务内容包含在线学习、实验操作、考试通过可获取官方证书。</w:t>
            </w:r>
          </w:p>
        </w:tc>
        <w:tc>
          <w:tcPr>
            <w:tcW w:w="2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学习认证方式：在线</w:t>
            </w:r>
          </w:p>
          <w:p>
            <w:pPr>
              <w:widowControl/>
              <w:rPr>
                <w:rFonts w:eastAsia="仿宋GB_2312"/>
                <w:sz w:val="18"/>
                <w:szCs w:val="18"/>
              </w:rPr>
            </w:pPr>
            <w:r>
              <w:rPr>
                <w:rFonts w:eastAsia="仿宋GB_2312"/>
                <w:sz w:val="18"/>
                <w:szCs w:val="18"/>
              </w:rPr>
              <w:t>已上线鲲鹏微认证：18个</w:t>
            </w:r>
          </w:p>
        </w:tc>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个</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24/28/38/68（以华为云官网为准）</w:t>
            </w:r>
          </w:p>
        </w:tc>
      </w:tr>
    </w:tbl>
    <w:p>
      <w:pPr>
        <w:pStyle w:val="3"/>
        <w:keepNext w:val="0"/>
        <w:widowControl/>
        <w:rPr>
          <w:rFonts w:ascii="Times New Roman" w:hAnsi="Times New Roman" w:eastAsia="方正黑体_GBK"/>
          <w:b w:val="0"/>
          <w:bCs/>
        </w:rPr>
      </w:pPr>
      <w:r>
        <w:rPr>
          <w:rFonts w:ascii="Times New Roman" w:hAnsi="Times New Roman" w:eastAsia="方正黑体_GBK"/>
          <w:b w:val="0"/>
          <w:bCs/>
        </w:rPr>
        <w:t>1.2 鲲鹏高研班</w:t>
      </w:r>
    </w:p>
    <w:tbl>
      <w:tblPr>
        <w:tblStyle w:val="6"/>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02"/>
        <w:gridCol w:w="1981"/>
        <w:gridCol w:w="2765"/>
        <w:gridCol w:w="730"/>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序号</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服务产品名称</w:t>
            </w:r>
          </w:p>
        </w:tc>
        <w:tc>
          <w:tcPr>
            <w:tcW w:w="19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产品规格</w:t>
            </w:r>
          </w:p>
        </w:tc>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配置说明</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单位</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单价(RMB/班)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1</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华为云鲲鹏高研班</w:t>
            </w:r>
            <w:r>
              <w:rPr>
                <w:rFonts w:eastAsia="仿宋GB_2312"/>
                <w:sz w:val="18"/>
                <w:szCs w:val="18"/>
              </w:rPr>
              <w:br w:type="textWrapping"/>
            </w:r>
            <w:r>
              <w:rPr>
                <w:rFonts w:eastAsia="仿宋GB_2312"/>
                <w:sz w:val="18"/>
                <w:szCs w:val="18"/>
              </w:rPr>
              <w:t>（20人/班）</w:t>
            </w:r>
          </w:p>
        </w:tc>
        <w:tc>
          <w:tcPr>
            <w:tcW w:w="19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高端课程：面向企业高管、园区领导，高校领导的鲲鹏生态体系战略培训提供基于鲲鹏战略、数字化转型的高端培训</w:t>
            </w:r>
          </w:p>
        </w:tc>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b/>
                <w:sz w:val="18"/>
                <w:szCs w:val="18"/>
              </w:rPr>
              <w:t>面授服务:</w:t>
            </w:r>
            <w:r>
              <w:rPr>
                <w:rFonts w:eastAsia="仿宋GB_2312"/>
                <w:sz w:val="18"/>
                <w:szCs w:val="18"/>
              </w:rPr>
              <w:br w:type="textWrapping"/>
            </w:r>
            <w:r>
              <w:rPr>
                <w:rFonts w:eastAsia="仿宋GB_2312"/>
                <w:sz w:val="18"/>
                <w:szCs w:val="18"/>
              </w:rPr>
              <w:t xml:space="preserve">提供为期1天的培训服务， </w:t>
            </w:r>
            <w:r>
              <w:rPr>
                <w:rFonts w:eastAsia="仿宋GB_2312"/>
                <w:sz w:val="18"/>
                <w:szCs w:val="18"/>
              </w:rPr>
              <w:br w:type="textWrapping"/>
            </w:r>
            <w:r>
              <w:rPr>
                <w:rFonts w:eastAsia="仿宋GB_2312"/>
                <w:sz w:val="18"/>
                <w:szCs w:val="18"/>
              </w:rPr>
              <w:t>说明：</w:t>
            </w:r>
            <w:r>
              <w:rPr>
                <w:rFonts w:eastAsia="仿宋GB_2312"/>
                <w:sz w:val="18"/>
                <w:szCs w:val="18"/>
              </w:rPr>
              <w:br w:type="textWrapping"/>
            </w:r>
            <w:r>
              <w:rPr>
                <w:rFonts w:eastAsia="仿宋GB_2312"/>
                <w:sz w:val="18"/>
                <w:szCs w:val="18"/>
              </w:rPr>
              <w:t>1.每场限20人以内</w:t>
            </w:r>
            <w:r>
              <w:rPr>
                <w:rFonts w:eastAsia="仿宋GB_2312"/>
                <w:sz w:val="18"/>
                <w:szCs w:val="18"/>
              </w:rPr>
              <w:br w:type="textWrapping"/>
            </w:r>
            <w:r>
              <w:rPr>
                <w:rFonts w:eastAsia="仿宋GB_2312"/>
                <w:sz w:val="18"/>
                <w:szCs w:val="18"/>
              </w:rPr>
              <w:t>2.支持客户所在地或培训中心培训</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元/班/次</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250,000.00</w:t>
            </w:r>
          </w:p>
        </w:tc>
      </w:tr>
    </w:tbl>
    <w:p>
      <w:pPr>
        <w:rPr>
          <w:szCs w:val="21"/>
        </w:rPr>
      </w:pPr>
    </w:p>
    <w:p>
      <w:pPr>
        <w:pStyle w:val="3"/>
        <w:keepNext w:val="0"/>
        <w:widowControl/>
        <w:rPr>
          <w:rFonts w:ascii="Times New Roman" w:hAnsi="Times New Roman" w:eastAsia="方正黑体_GBK"/>
          <w:b w:val="0"/>
          <w:bCs/>
        </w:rPr>
      </w:pPr>
      <w:r>
        <w:rPr>
          <w:rFonts w:ascii="Times New Roman" w:hAnsi="Times New Roman" w:eastAsia="方正黑体_GBK"/>
          <w:b w:val="0"/>
          <w:bCs/>
        </w:rPr>
        <w:t>1.3 鲲鹏训练营</w:t>
      </w:r>
    </w:p>
    <w:tbl>
      <w:tblPr>
        <w:tblStyle w:val="6"/>
        <w:tblW w:w="5043"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432"/>
        <w:gridCol w:w="2870"/>
        <w:gridCol w:w="1649"/>
        <w:gridCol w:w="746"/>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序号</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服务产品名称</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产品规格</w:t>
            </w:r>
          </w:p>
        </w:tc>
        <w:tc>
          <w:tcPr>
            <w:tcW w:w="9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配置说明</w:t>
            </w:r>
          </w:p>
        </w:tc>
        <w:tc>
          <w:tcPr>
            <w:tcW w:w="4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单位</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单价(RMB)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1</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鲲鹏训练营</w:t>
            </w:r>
          </w:p>
        </w:tc>
        <w:tc>
          <w:tcPr>
            <w:tcW w:w="16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为客户提供鲲鹏训练营公开课课程设计、课程开发及讲师服务。</w:t>
            </w:r>
          </w:p>
        </w:tc>
        <w:tc>
          <w:tcPr>
            <w:tcW w:w="9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每班50人以内，时长5天</w:t>
            </w:r>
          </w:p>
        </w:tc>
        <w:tc>
          <w:tcPr>
            <w:tcW w:w="4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班次</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500,000.00</w:t>
            </w:r>
          </w:p>
        </w:tc>
      </w:tr>
    </w:tbl>
    <w:p>
      <w:pPr>
        <w:pStyle w:val="3"/>
        <w:keepNext w:val="0"/>
        <w:widowControl/>
        <w:rPr>
          <w:rFonts w:ascii="Times New Roman" w:hAnsi="Times New Roman" w:eastAsia="方正黑体_GBK"/>
          <w:b w:val="0"/>
          <w:bCs/>
        </w:rPr>
      </w:pPr>
      <w:r>
        <w:rPr>
          <w:rFonts w:ascii="Times New Roman" w:hAnsi="Times New Roman" w:eastAsia="方正黑体_GBK"/>
          <w:b w:val="0"/>
          <w:bCs/>
        </w:rPr>
        <w:t>2构建类鲲鹏云服务</w:t>
      </w:r>
    </w:p>
    <w:p>
      <w:pPr>
        <w:pStyle w:val="3"/>
        <w:keepNext w:val="0"/>
        <w:widowControl/>
        <w:rPr>
          <w:rFonts w:ascii="Times New Roman" w:hAnsi="Times New Roman" w:eastAsia="方正黑体_GBK"/>
          <w:b w:val="0"/>
          <w:bCs/>
        </w:rPr>
      </w:pPr>
      <w:r>
        <w:rPr>
          <w:rFonts w:ascii="Times New Roman" w:hAnsi="Times New Roman" w:eastAsia="方正黑体_GBK"/>
          <w:b w:val="0"/>
          <w:bCs/>
        </w:rPr>
        <w:t>2.1 鲲鹏移植专家服务</w:t>
      </w:r>
    </w:p>
    <w:tbl>
      <w:tblPr>
        <w:tblStyle w:val="6"/>
        <w:tblW w:w="93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17"/>
        <w:gridCol w:w="4820"/>
        <w:gridCol w:w="70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bCs/>
                <w:sz w:val="18"/>
                <w:szCs w:val="18"/>
              </w:rPr>
            </w:pPr>
            <w:r>
              <w:rPr>
                <w:rFonts w:eastAsia="仿宋GB_2312"/>
                <w:b/>
                <w:bCs/>
                <w:sz w:val="18"/>
                <w:szCs w:val="18"/>
              </w:rPr>
              <w:t>服务分类</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bCs/>
                <w:sz w:val="18"/>
                <w:szCs w:val="18"/>
              </w:rPr>
            </w:pPr>
            <w:r>
              <w:rPr>
                <w:rFonts w:eastAsia="仿宋GB_2312"/>
                <w:b/>
                <w:bCs/>
                <w:sz w:val="18"/>
                <w:szCs w:val="18"/>
              </w:rPr>
              <w:t>服务产品名称</w:t>
            </w:r>
          </w:p>
        </w:tc>
        <w:tc>
          <w:tcPr>
            <w:tcW w:w="4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bCs/>
                <w:sz w:val="18"/>
                <w:szCs w:val="18"/>
              </w:rPr>
            </w:pPr>
            <w:r>
              <w:rPr>
                <w:rFonts w:eastAsia="仿宋GB_2312"/>
                <w:b/>
                <w:bCs/>
                <w:sz w:val="18"/>
                <w:szCs w:val="18"/>
              </w:rPr>
              <w:t>服务内容</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bCs/>
                <w:sz w:val="18"/>
                <w:szCs w:val="18"/>
              </w:rPr>
            </w:pPr>
            <w:r>
              <w:rPr>
                <w:rFonts w:eastAsia="仿宋GB_2312"/>
                <w:b/>
                <w:bCs/>
                <w:sz w:val="18"/>
                <w:szCs w:val="18"/>
              </w:rPr>
              <w:t>单位</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bCs/>
                <w:sz w:val="18"/>
                <w:szCs w:val="18"/>
              </w:rPr>
            </w:pPr>
            <w:r>
              <w:rPr>
                <w:rFonts w:eastAsia="仿宋GB_2312"/>
                <w:b/>
                <w:bCs/>
                <w:sz w:val="18"/>
                <w:szCs w:val="18"/>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0" w:hRule="atLeast"/>
        </w:trPr>
        <w:tc>
          <w:tcPr>
            <w:tcW w:w="988" w:type="dxa"/>
            <w:vMerge w:val="restart"/>
            <w:tcBorders>
              <w:top w:val="nil"/>
              <w:left w:val="single" w:color="auto" w:sz="4" w:space="0"/>
              <w:bottom w:val="single" w:color="auto" w:sz="4" w:space="0"/>
              <w:right w:val="single" w:color="auto" w:sz="4" w:space="0"/>
            </w:tcBorders>
            <w:shd w:val="clear" w:color="auto" w:fill="FFFFFF"/>
            <w:vAlign w:val="center"/>
          </w:tcPr>
          <w:p>
            <w:pPr>
              <w:widowControl/>
              <w:rPr>
                <w:rFonts w:eastAsia="仿宋GB_2312"/>
                <w:sz w:val="18"/>
                <w:szCs w:val="18"/>
              </w:rPr>
            </w:pPr>
            <w:r>
              <w:rPr>
                <w:rFonts w:eastAsia="仿宋GB_2312"/>
                <w:sz w:val="18"/>
                <w:szCs w:val="18"/>
              </w:rPr>
              <w:t>鲲鹏移植专家服务</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eastAsia="仿宋GB_2312"/>
                <w:sz w:val="18"/>
                <w:szCs w:val="18"/>
              </w:rPr>
            </w:pPr>
            <w:r>
              <w:rPr>
                <w:rFonts w:eastAsia="仿宋GB_2312"/>
                <w:sz w:val="18"/>
                <w:szCs w:val="18"/>
              </w:rPr>
              <w:t>鲲鹏移植专家服务-开发者级</w:t>
            </w:r>
          </w:p>
        </w:tc>
        <w:tc>
          <w:tcPr>
            <w:tcW w:w="48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eastAsia="仿宋GB_2312"/>
                <w:sz w:val="18"/>
                <w:szCs w:val="18"/>
              </w:rPr>
            </w:pPr>
            <w:r>
              <w:rPr>
                <w:rFonts w:eastAsia="仿宋GB_2312"/>
                <w:sz w:val="18"/>
                <w:szCs w:val="18"/>
              </w:rPr>
              <w:t>鲲鹏移植专家服务包：</w:t>
            </w:r>
          </w:p>
          <w:p>
            <w:pPr>
              <w:widowControl/>
              <w:rPr>
                <w:rFonts w:eastAsia="仿宋GB_2312"/>
                <w:sz w:val="18"/>
                <w:szCs w:val="18"/>
              </w:rPr>
            </w:pPr>
            <w:r>
              <w:rPr>
                <w:rFonts w:eastAsia="仿宋GB_2312"/>
                <w:sz w:val="18"/>
                <w:szCs w:val="18"/>
              </w:rPr>
              <w:t>提供移植评估、移植方案设计、移植技术支持、迁移方案设计和实施、测试验证。主要根据系统复杂度(涉及的组件、数据库类型个数)来评估选择套餐的标准，1个业务系统包含如下的内容：</w:t>
            </w:r>
          </w:p>
          <w:p>
            <w:pPr>
              <w:widowControl/>
              <w:rPr>
                <w:rFonts w:eastAsia="仿宋GB_2312"/>
                <w:sz w:val="18"/>
                <w:szCs w:val="18"/>
              </w:rPr>
            </w:pPr>
            <w:r>
              <w:rPr>
                <w:rFonts w:eastAsia="仿宋GB_2312"/>
                <w:sz w:val="18"/>
                <w:szCs w:val="18"/>
              </w:rPr>
              <w:t>5个组件，包含中间件、依赖库、安全组件、web、加速库等（如NGINX、Tomcat、Redis、Kafka）；</w:t>
            </w:r>
          </w:p>
          <w:p>
            <w:pPr>
              <w:widowControl/>
              <w:rPr>
                <w:rFonts w:eastAsia="仿宋GB_2312"/>
                <w:sz w:val="18"/>
                <w:szCs w:val="18"/>
              </w:rPr>
            </w:pPr>
            <w:r>
              <w:rPr>
                <w:rFonts w:eastAsia="仿宋GB_2312"/>
                <w:sz w:val="18"/>
                <w:szCs w:val="18"/>
              </w:rPr>
              <w:t>1个数据库类型，如Oracle、Mysql、PostgreSQL、SQLSever、MongoDB等，同类型数据库的不同版本算作一个新的类型；</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eastAsia="仿宋GB_2312"/>
                <w:sz w:val="18"/>
                <w:szCs w:val="18"/>
              </w:rPr>
            </w:pPr>
            <w:r>
              <w:rPr>
                <w:rFonts w:eastAsia="仿宋GB_2312"/>
                <w:sz w:val="18"/>
                <w:szCs w:val="18"/>
              </w:rPr>
              <w:t>元/套餐包/次</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eastAsia="仿宋GB_2312"/>
                <w:sz w:val="18"/>
                <w:szCs w:val="18"/>
              </w:rPr>
            </w:pPr>
            <w:r>
              <w:rPr>
                <w:rFonts w:eastAsia="仿宋GB_2312"/>
                <w:sz w:val="18"/>
                <w:szCs w:val="18"/>
              </w:rPr>
              <w:t xml:space="preserve"> 103,800.00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988" w:type="dxa"/>
            <w:vMerge w:val="continue"/>
            <w:tcBorders>
              <w:top w:val="nil"/>
              <w:left w:val="single" w:color="auto" w:sz="4" w:space="0"/>
              <w:bottom w:val="single" w:color="auto" w:sz="4" w:space="0"/>
              <w:right w:val="single" w:color="auto" w:sz="4" w:space="0"/>
            </w:tcBorders>
            <w:shd w:val="clear" w:color="auto" w:fill="FFFFFF"/>
            <w:vAlign w:val="center"/>
          </w:tcPr>
          <w:p>
            <w:pPr>
              <w:rPr>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eastAsia="仿宋GB_2312"/>
                <w:sz w:val="18"/>
                <w:szCs w:val="18"/>
              </w:rPr>
            </w:pPr>
            <w:r>
              <w:rPr>
                <w:rFonts w:eastAsia="仿宋GB_2312"/>
                <w:sz w:val="18"/>
                <w:szCs w:val="18"/>
              </w:rPr>
              <w:t>鲲鹏移植专家服务-企业级</w:t>
            </w:r>
          </w:p>
        </w:tc>
        <w:tc>
          <w:tcPr>
            <w:tcW w:w="48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eastAsia="仿宋GB_2312"/>
                <w:sz w:val="18"/>
                <w:szCs w:val="18"/>
              </w:rPr>
            </w:pPr>
            <w:r>
              <w:rPr>
                <w:rFonts w:eastAsia="仿宋GB_2312"/>
                <w:sz w:val="18"/>
                <w:szCs w:val="18"/>
              </w:rPr>
              <w:t>鲲鹏移植专家服务包：</w:t>
            </w:r>
          </w:p>
          <w:p>
            <w:pPr>
              <w:widowControl/>
              <w:rPr>
                <w:rFonts w:eastAsia="仿宋GB_2312"/>
                <w:sz w:val="18"/>
                <w:szCs w:val="18"/>
              </w:rPr>
            </w:pPr>
            <w:r>
              <w:rPr>
                <w:rFonts w:eastAsia="仿宋GB_2312"/>
                <w:sz w:val="18"/>
                <w:szCs w:val="18"/>
              </w:rPr>
              <w:t>提供移植评估、移植方案设计、移植技术支持、迁移方案设计和实施、测试验证。主要根据系统复杂度(涉及的组件、数据库类型个数)来评估选择套餐的标准，1个业务系统包含如下的内容：</w:t>
            </w:r>
          </w:p>
          <w:p>
            <w:pPr>
              <w:widowControl/>
              <w:rPr>
                <w:rFonts w:eastAsia="仿宋GB_2312"/>
                <w:sz w:val="18"/>
                <w:szCs w:val="18"/>
              </w:rPr>
            </w:pPr>
            <w:r>
              <w:rPr>
                <w:rFonts w:eastAsia="仿宋GB_2312"/>
                <w:sz w:val="18"/>
                <w:szCs w:val="18"/>
              </w:rPr>
              <w:t>15个组件，包含中间件、依赖库、安全组件、web、加速库等（如NGINX、Tomcat、Redis、Kafka）；</w:t>
            </w:r>
          </w:p>
          <w:p>
            <w:pPr>
              <w:widowControl/>
              <w:rPr>
                <w:rFonts w:eastAsia="仿宋GB_2312"/>
                <w:sz w:val="18"/>
                <w:szCs w:val="18"/>
              </w:rPr>
            </w:pPr>
            <w:r>
              <w:rPr>
                <w:rFonts w:eastAsia="仿宋GB_2312"/>
                <w:sz w:val="18"/>
                <w:szCs w:val="18"/>
              </w:rPr>
              <w:t>2个数据库类型，如Oracle、Mysql、PostgreSQL、SQLSever、MongoDB等，同类型数据库的不同版本算作一个新的类型；</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eastAsia="仿宋GB_2312"/>
                <w:sz w:val="18"/>
                <w:szCs w:val="18"/>
              </w:rPr>
            </w:pPr>
            <w:r>
              <w:rPr>
                <w:rFonts w:eastAsia="仿宋GB_2312"/>
                <w:sz w:val="18"/>
                <w:szCs w:val="18"/>
              </w:rPr>
              <w:t>元/套餐包/次</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eastAsia="仿宋GB_2312"/>
                <w:sz w:val="18"/>
                <w:szCs w:val="18"/>
              </w:rPr>
            </w:pPr>
            <w:r>
              <w:rPr>
                <w:rFonts w:eastAsia="仿宋GB_2312"/>
                <w:sz w:val="18"/>
                <w:szCs w:val="18"/>
              </w:rPr>
              <w:t>201,700.00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988" w:type="dxa"/>
            <w:vMerge w:val="continue"/>
            <w:tcBorders>
              <w:top w:val="nil"/>
              <w:left w:val="single" w:color="auto" w:sz="4" w:space="0"/>
              <w:bottom w:val="single" w:color="auto" w:sz="4" w:space="0"/>
              <w:right w:val="single" w:color="auto" w:sz="4" w:space="0"/>
            </w:tcBorders>
            <w:shd w:val="clear" w:color="auto" w:fill="FFFFFF"/>
            <w:vAlign w:val="center"/>
          </w:tcPr>
          <w:p>
            <w:pPr>
              <w:rPr>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eastAsia="仿宋GB_2312"/>
                <w:sz w:val="18"/>
                <w:szCs w:val="18"/>
              </w:rPr>
            </w:pPr>
            <w:r>
              <w:rPr>
                <w:rFonts w:eastAsia="仿宋GB_2312"/>
                <w:sz w:val="18"/>
                <w:szCs w:val="18"/>
              </w:rPr>
              <w:t>鲲鹏移植专家服务-旗舰级</w:t>
            </w:r>
          </w:p>
        </w:tc>
        <w:tc>
          <w:tcPr>
            <w:tcW w:w="48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eastAsia="仿宋GB_2312"/>
                <w:sz w:val="18"/>
                <w:szCs w:val="18"/>
              </w:rPr>
            </w:pPr>
            <w:r>
              <w:rPr>
                <w:rFonts w:eastAsia="仿宋GB_2312"/>
                <w:sz w:val="18"/>
                <w:szCs w:val="18"/>
              </w:rPr>
              <w:t>鲲鹏移植专家服务包：</w:t>
            </w:r>
          </w:p>
          <w:p>
            <w:pPr>
              <w:widowControl/>
              <w:rPr>
                <w:rFonts w:eastAsia="仿宋GB_2312"/>
                <w:sz w:val="18"/>
                <w:szCs w:val="18"/>
              </w:rPr>
            </w:pPr>
            <w:r>
              <w:rPr>
                <w:rFonts w:eastAsia="仿宋GB_2312"/>
                <w:sz w:val="18"/>
                <w:szCs w:val="18"/>
              </w:rPr>
              <w:t>提供移植评估、移植方案设计、移植技术支持、迁移方案设计和实施、测试验证。主要根据系统复杂度(涉及的组件、数据库类型个数)来评估选择套餐的标准，1个业务系统包含如下的内容：</w:t>
            </w:r>
          </w:p>
          <w:p>
            <w:pPr>
              <w:widowControl/>
              <w:rPr>
                <w:rFonts w:eastAsia="仿宋GB_2312"/>
                <w:sz w:val="18"/>
                <w:szCs w:val="18"/>
              </w:rPr>
            </w:pPr>
            <w:r>
              <w:rPr>
                <w:rFonts w:eastAsia="仿宋GB_2312"/>
                <w:sz w:val="18"/>
                <w:szCs w:val="18"/>
              </w:rPr>
              <w:t>30个组件，包含中间件、依赖库、安全组件、web、加速库等（如NGINX、Tomcat、Redis、Kafka）；</w:t>
            </w:r>
          </w:p>
          <w:p>
            <w:pPr>
              <w:widowControl/>
              <w:rPr>
                <w:rFonts w:eastAsia="仿宋GB_2312"/>
                <w:sz w:val="18"/>
                <w:szCs w:val="18"/>
              </w:rPr>
            </w:pPr>
            <w:r>
              <w:rPr>
                <w:rFonts w:eastAsia="仿宋GB_2312"/>
                <w:sz w:val="18"/>
                <w:szCs w:val="18"/>
              </w:rPr>
              <w:t>5个数据库类型，如Oracle、Mysql、PostgreSQL、SQLSever、MongoDB等，同类型数据库的不同版本算作一个新的类型；</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eastAsia="仿宋GB_2312"/>
                <w:sz w:val="18"/>
                <w:szCs w:val="18"/>
              </w:rPr>
            </w:pPr>
            <w:r>
              <w:rPr>
                <w:rFonts w:eastAsia="仿宋GB_2312"/>
                <w:sz w:val="18"/>
                <w:szCs w:val="18"/>
              </w:rPr>
              <w:t>元/套餐包/次</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eastAsia="仿宋GB_2312"/>
                <w:sz w:val="18"/>
                <w:szCs w:val="18"/>
              </w:rPr>
            </w:pPr>
            <w:r>
              <w:rPr>
                <w:rFonts w:eastAsia="仿宋GB_2312"/>
                <w:sz w:val="18"/>
                <w:szCs w:val="18"/>
              </w:rPr>
              <w:t>531,500.00</w:t>
            </w:r>
          </w:p>
        </w:tc>
      </w:tr>
    </w:tbl>
    <w:p>
      <w:pPr>
        <w:pStyle w:val="3"/>
        <w:keepNext w:val="0"/>
        <w:widowControl/>
        <w:rPr>
          <w:rFonts w:ascii="Times New Roman" w:hAnsi="Times New Roman" w:eastAsia="方正黑体_GBK"/>
          <w:b w:val="0"/>
          <w:bCs/>
        </w:rPr>
      </w:pPr>
      <w:r>
        <w:rPr>
          <w:rFonts w:ascii="Times New Roman" w:hAnsi="Times New Roman" w:eastAsia="方正黑体_GBK"/>
          <w:b w:val="0"/>
          <w:bCs/>
        </w:rPr>
        <w:t>2.2 鲲鹏全栈调优支持高阶服务</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4912"/>
        <w:gridCol w:w="721"/>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bCs/>
                <w:sz w:val="18"/>
                <w:szCs w:val="18"/>
              </w:rPr>
            </w:pPr>
            <w:r>
              <w:rPr>
                <w:rFonts w:eastAsia="仿宋GB_2312"/>
                <w:b/>
                <w:bCs/>
                <w:sz w:val="18"/>
                <w:szCs w:val="18"/>
              </w:rPr>
              <w:t>服务产品名称</w:t>
            </w:r>
          </w:p>
        </w:tc>
        <w:tc>
          <w:tcPr>
            <w:tcW w:w="28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bCs/>
                <w:sz w:val="18"/>
                <w:szCs w:val="18"/>
              </w:rPr>
            </w:pPr>
            <w:r>
              <w:rPr>
                <w:rFonts w:eastAsia="仿宋GB_2312"/>
                <w:b/>
                <w:bCs/>
                <w:sz w:val="18"/>
                <w:szCs w:val="18"/>
              </w:rPr>
              <w:t>服务内容</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bCs/>
                <w:sz w:val="18"/>
                <w:szCs w:val="18"/>
              </w:rPr>
            </w:pPr>
            <w:r>
              <w:rPr>
                <w:rFonts w:eastAsia="仿宋GB_2312"/>
                <w:b/>
                <w:bCs/>
                <w:sz w:val="18"/>
                <w:szCs w:val="18"/>
              </w:rPr>
              <w:t>单位</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bCs/>
                <w:sz w:val="18"/>
                <w:szCs w:val="18"/>
              </w:rPr>
            </w:pPr>
            <w:r>
              <w:rPr>
                <w:rFonts w:eastAsia="仿宋GB_2312"/>
                <w:b/>
                <w:bCs/>
                <w:sz w:val="18"/>
                <w:szCs w:val="18"/>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鲲鹏全栈调优支持高阶服务</w:t>
            </w:r>
          </w:p>
        </w:tc>
        <w:tc>
          <w:tcPr>
            <w:tcW w:w="28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针对迁移完成的应用系统进行性能评测，并针对移植改造后（如操作系统更换为OpenEuler系列，数据库更换为OpenGauss系列，基础软件及应用软件加速库及编译等）可能出现的性能问题，进行从底层硬件到操作系统到中间件到应用层的鲲鹏全栈性能调优高级支持。</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每应用</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 xml:space="preserve">272,280.00 </w:t>
            </w:r>
          </w:p>
        </w:tc>
      </w:tr>
    </w:tbl>
    <w:p>
      <w:pPr>
        <w:pStyle w:val="3"/>
        <w:keepNext w:val="0"/>
        <w:widowControl/>
        <w:rPr>
          <w:rFonts w:ascii="Times New Roman" w:hAnsi="Times New Roman" w:eastAsia="微软雅黑"/>
          <w:b w:val="0"/>
          <w:bCs/>
        </w:rPr>
      </w:pPr>
    </w:p>
    <w:p>
      <w:pPr>
        <w:pStyle w:val="3"/>
        <w:keepNext w:val="0"/>
        <w:widowControl/>
        <w:rPr>
          <w:rFonts w:ascii="Times New Roman" w:hAnsi="Times New Roman" w:eastAsia="方正黑体_GBK"/>
          <w:b w:val="0"/>
          <w:bCs/>
        </w:rPr>
      </w:pPr>
      <w:r>
        <w:rPr>
          <w:rFonts w:ascii="Times New Roman" w:hAnsi="Times New Roman" w:eastAsia="方正黑体_GBK"/>
          <w:b w:val="0"/>
          <w:bCs/>
        </w:rPr>
        <w:t>3鲲鹏云服务</w:t>
      </w:r>
    </w:p>
    <w:p>
      <w:pPr>
        <w:pStyle w:val="2"/>
        <w:widowControl/>
        <w:ind w:firstLine="480"/>
        <w:rPr>
          <w:rFonts w:eastAsia="方正仿宋_GBK"/>
          <w:iCs/>
          <w:sz w:val="24"/>
          <w:szCs w:val="24"/>
        </w:rPr>
      </w:pPr>
      <w:r>
        <w:rPr>
          <w:rFonts w:eastAsia="方正仿宋_GBK"/>
          <w:iCs/>
          <w:sz w:val="24"/>
          <w:szCs w:val="24"/>
        </w:rPr>
        <w:t>鲲鹏云服务价格，以华为云官网产品价格为准：https://www.huaweicloud.com/</w:t>
      </w:r>
    </w:p>
    <w:p>
      <w:pPr>
        <w:pStyle w:val="3"/>
        <w:keepNext w:val="0"/>
        <w:widowControl/>
        <w:rPr>
          <w:rFonts w:ascii="Times New Roman" w:hAnsi="Times New Roman" w:eastAsia="方正黑体_GBK"/>
          <w:b w:val="0"/>
          <w:bCs/>
        </w:rPr>
      </w:pPr>
      <w:r>
        <w:rPr>
          <w:rFonts w:ascii="Times New Roman" w:hAnsi="Times New Roman" w:eastAsia="方正黑体_GBK"/>
          <w:b w:val="0"/>
          <w:bCs/>
        </w:rPr>
        <w:t>3.1 计算服务</w:t>
      </w:r>
    </w:p>
    <w:tbl>
      <w:tblPr>
        <w:tblStyle w:val="6"/>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2310"/>
        <w:gridCol w:w="1187"/>
        <w:gridCol w:w="3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eastAsia="仿宋GB_2312"/>
                <w:sz w:val="18"/>
                <w:szCs w:val="18"/>
              </w:rPr>
            </w:pPr>
            <w:r>
              <w:rPr>
                <w:rFonts w:eastAsia="仿宋GB_2312"/>
                <w:b/>
                <w:bCs/>
                <w:sz w:val="18"/>
                <w:szCs w:val="18"/>
              </w:rPr>
              <w:t>中文名称</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eastAsia="仿宋GB_2312"/>
                <w:sz w:val="18"/>
                <w:szCs w:val="18"/>
              </w:rPr>
            </w:pPr>
            <w:r>
              <w:rPr>
                <w:rFonts w:eastAsia="仿宋GB_2312"/>
                <w:b/>
                <w:bCs/>
                <w:sz w:val="18"/>
                <w:szCs w:val="18"/>
              </w:rPr>
              <w:t>英文名称</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eastAsia="仿宋GB_2312"/>
                <w:sz w:val="18"/>
                <w:szCs w:val="18"/>
              </w:rPr>
            </w:pPr>
            <w:r>
              <w:rPr>
                <w:rFonts w:eastAsia="仿宋GB_2312"/>
                <w:b/>
                <w:bCs/>
                <w:sz w:val="18"/>
                <w:szCs w:val="18"/>
              </w:rPr>
              <w:t>英文简称</w:t>
            </w:r>
          </w:p>
        </w:tc>
        <w:tc>
          <w:tcPr>
            <w:tcW w:w="305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eastAsia="仿宋GB_2312"/>
                <w:sz w:val="18"/>
                <w:szCs w:val="18"/>
              </w:rPr>
            </w:pPr>
            <w:r>
              <w:rPr>
                <w:rFonts w:eastAsia="仿宋GB_2312"/>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弹性云服务器</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Elastic Cloud Server</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ECS</w:t>
            </w:r>
          </w:p>
        </w:tc>
        <w:tc>
          <w:tcPr>
            <w:tcW w:w="305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裸金属服务器</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Bare Metal Server</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BMS</w:t>
            </w:r>
          </w:p>
        </w:tc>
        <w:tc>
          <w:tcPr>
            <w:tcW w:w="305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鲲鹏裸金属服务的系统盘是云硬盘，需要单独购买，建议容量40~100G，用于安装私有镜像。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云容器引擎</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Cloud Container Engine</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CCE</w:t>
            </w:r>
          </w:p>
        </w:tc>
        <w:tc>
          <w:tcPr>
            <w:tcW w:w="305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bl>
    <w:p>
      <w:pPr>
        <w:pStyle w:val="3"/>
        <w:keepNext w:val="0"/>
        <w:widowControl/>
        <w:rPr>
          <w:rFonts w:ascii="Times New Roman" w:hAnsi="Times New Roman" w:eastAsia="方正黑体_GBK"/>
          <w:b w:val="0"/>
          <w:bCs/>
        </w:rPr>
      </w:pPr>
      <w:r>
        <w:rPr>
          <w:rFonts w:ascii="Times New Roman" w:hAnsi="Times New Roman" w:eastAsia="方正黑体_GBK"/>
          <w:b w:val="0"/>
          <w:bCs/>
        </w:rPr>
        <w:t>3.2 存储服务</w:t>
      </w:r>
    </w:p>
    <w:tbl>
      <w:tblPr>
        <w:tblStyle w:val="6"/>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2788"/>
        <w:gridCol w:w="1713"/>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eastAsia="仿宋GB_2312"/>
                <w:sz w:val="18"/>
                <w:szCs w:val="18"/>
              </w:rPr>
            </w:pPr>
            <w:r>
              <w:rPr>
                <w:rFonts w:eastAsia="仿宋GB_2312"/>
                <w:b/>
                <w:bCs/>
                <w:sz w:val="18"/>
                <w:szCs w:val="18"/>
              </w:rPr>
              <w:t>中文名称</w:t>
            </w:r>
          </w:p>
        </w:tc>
        <w:tc>
          <w:tcPr>
            <w:tcW w:w="278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eastAsia="仿宋GB_2312"/>
                <w:sz w:val="18"/>
                <w:szCs w:val="18"/>
              </w:rPr>
            </w:pPr>
            <w:r>
              <w:rPr>
                <w:rFonts w:eastAsia="仿宋GB_2312"/>
                <w:b/>
                <w:bCs/>
                <w:sz w:val="18"/>
                <w:szCs w:val="18"/>
              </w:rPr>
              <w:t>英文名称</w:t>
            </w: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eastAsia="仿宋GB_2312"/>
                <w:sz w:val="18"/>
                <w:szCs w:val="18"/>
              </w:rPr>
            </w:pPr>
            <w:r>
              <w:rPr>
                <w:rFonts w:eastAsia="仿宋GB_2312"/>
                <w:b/>
                <w:bCs/>
                <w:sz w:val="18"/>
                <w:szCs w:val="18"/>
              </w:rPr>
              <w:t>英文简称</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eastAsia="仿宋GB_2312"/>
                <w:sz w:val="18"/>
                <w:szCs w:val="18"/>
              </w:rPr>
            </w:pPr>
            <w:r>
              <w:rPr>
                <w:rFonts w:eastAsia="仿宋GB_2312"/>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云硬盘</w:t>
            </w:r>
          </w:p>
        </w:tc>
        <w:tc>
          <w:tcPr>
            <w:tcW w:w="278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Elastic Volume Service</w:t>
            </w: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EVS</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对象存储服务</w:t>
            </w:r>
          </w:p>
        </w:tc>
        <w:tc>
          <w:tcPr>
            <w:tcW w:w="278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Object Storage Service</w:t>
            </w: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OBS</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弹性文件服务</w:t>
            </w:r>
          </w:p>
        </w:tc>
        <w:tc>
          <w:tcPr>
            <w:tcW w:w="278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Scalable File Service</w:t>
            </w: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SFS</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云备份</w:t>
            </w:r>
          </w:p>
        </w:tc>
        <w:tc>
          <w:tcPr>
            <w:tcW w:w="278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Cloud Backup and Recovery</w:t>
            </w: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CBR</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bl>
    <w:p>
      <w:pPr>
        <w:pStyle w:val="3"/>
        <w:keepNext w:val="0"/>
        <w:widowControl/>
        <w:rPr>
          <w:rFonts w:ascii="Times New Roman" w:hAnsi="Times New Roman" w:eastAsia="方正黑体_GBK"/>
          <w:b w:val="0"/>
          <w:bCs/>
        </w:rPr>
      </w:pPr>
      <w:r>
        <w:rPr>
          <w:rFonts w:ascii="Times New Roman" w:hAnsi="Times New Roman" w:eastAsia="方正黑体_GBK"/>
          <w:b w:val="0"/>
          <w:bCs/>
        </w:rPr>
        <w:t>3.3 网络服务</w:t>
      </w:r>
    </w:p>
    <w:tbl>
      <w:tblPr>
        <w:tblStyle w:val="6"/>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2788"/>
        <w:gridCol w:w="1713"/>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eastAsia="仿宋GB_2312"/>
                <w:sz w:val="18"/>
                <w:szCs w:val="18"/>
              </w:rPr>
            </w:pPr>
            <w:r>
              <w:rPr>
                <w:rFonts w:eastAsia="仿宋GB_2312"/>
                <w:b/>
                <w:bCs/>
                <w:sz w:val="18"/>
                <w:szCs w:val="18"/>
              </w:rPr>
              <w:t>中文名称</w:t>
            </w:r>
          </w:p>
        </w:tc>
        <w:tc>
          <w:tcPr>
            <w:tcW w:w="278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eastAsia="仿宋GB_2312"/>
                <w:sz w:val="18"/>
                <w:szCs w:val="18"/>
              </w:rPr>
            </w:pPr>
            <w:r>
              <w:rPr>
                <w:rFonts w:eastAsia="仿宋GB_2312"/>
                <w:b/>
                <w:bCs/>
                <w:sz w:val="18"/>
                <w:szCs w:val="18"/>
              </w:rPr>
              <w:t>英文名称</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eastAsia="仿宋GB_2312"/>
                <w:sz w:val="18"/>
                <w:szCs w:val="18"/>
              </w:rPr>
            </w:pPr>
            <w:r>
              <w:rPr>
                <w:rFonts w:eastAsia="仿宋GB_2312"/>
                <w:b/>
                <w:bCs/>
                <w:sz w:val="18"/>
                <w:szCs w:val="18"/>
              </w:rPr>
              <w:t>英文简称</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eastAsia="仿宋GB_2312"/>
                <w:sz w:val="18"/>
                <w:szCs w:val="18"/>
              </w:rPr>
            </w:pPr>
            <w:r>
              <w:rPr>
                <w:rFonts w:eastAsia="仿宋GB_2312"/>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弹性公网IP</w:t>
            </w:r>
          </w:p>
        </w:tc>
        <w:tc>
          <w:tcPr>
            <w:tcW w:w="278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Elastic IP</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EIP</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NAT网关</w:t>
            </w:r>
          </w:p>
        </w:tc>
        <w:tc>
          <w:tcPr>
            <w:tcW w:w="278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NAT Gateway</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NAT</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虚拟专用网络</w:t>
            </w:r>
          </w:p>
        </w:tc>
        <w:tc>
          <w:tcPr>
            <w:tcW w:w="278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Virtual Private Network</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VPN</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弹性负载均衡</w:t>
            </w:r>
          </w:p>
        </w:tc>
        <w:tc>
          <w:tcPr>
            <w:tcW w:w="278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Elastic Load Balance</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ELB</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p>
        </w:tc>
      </w:tr>
    </w:tbl>
    <w:p>
      <w:pPr>
        <w:pStyle w:val="3"/>
        <w:keepNext w:val="0"/>
        <w:widowControl/>
        <w:rPr>
          <w:rFonts w:ascii="Times New Roman" w:hAnsi="Times New Roman" w:eastAsia="方正黑体_GBK"/>
          <w:b w:val="0"/>
          <w:bCs/>
        </w:rPr>
      </w:pPr>
      <w:r>
        <w:rPr>
          <w:rFonts w:ascii="Times New Roman" w:hAnsi="Times New Roman" w:eastAsia="方正黑体_GBK"/>
          <w:b w:val="0"/>
          <w:bCs/>
        </w:rPr>
        <w:t>3.4 数据库与应用服务</w:t>
      </w:r>
    </w:p>
    <w:tbl>
      <w:tblPr>
        <w:tblStyle w:val="6"/>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2310"/>
        <w:gridCol w:w="2191"/>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eastAsia="仿宋GB_2312"/>
                <w:sz w:val="18"/>
                <w:szCs w:val="18"/>
              </w:rPr>
            </w:pPr>
            <w:r>
              <w:rPr>
                <w:rFonts w:eastAsia="仿宋GB_2312"/>
                <w:b/>
                <w:bCs/>
                <w:sz w:val="18"/>
                <w:szCs w:val="18"/>
              </w:rPr>
              <w:t>中文名称</w:t>
            </w:r>
          </w:p>
        </w:tc>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eastAsia="仿宋GB_2312"/>
                <w:sz w:val="18"/>
                <w:szCs w:val="18"/>
              </w:rPr>
            </w:pPr>
            <w:r>
              <w:rPr>
                <w:rFonts w:eastAsia="仿宋GB_2312"/>
                <w:b/>
                <w:bCs/>
                <w:sz w:val="18"/>
                <w:szCs w:val="18"/>
              </w:rPr>
              <w:t>英文名称</w:t>
            </w:r>
          </w:p>
        </w:tc>
        <w:tc>
          <w:tcPr>
            <w:tcW w:w="219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eastAsia="仿宋GB_2312"/>
                <w:sz w:val="18"/>
                <w:szCs w:val="18"/>
              </w:rPr>
            </w:pPr>
            <w:r>
              <w:rPr>
                <w:rFonts w:eastAsia="仿宋GB_2312"/>
                <w:b/>
                <w:bCs/>
                <w:sz w:val="18"/>
                <w:szCs w:val="18"/>
              </w:rPr>
              <w:t>英文简称</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eastAsia="仿宋GB_2312"/>
                <w:sz w:val="18"/>
                <w:szCs w:val="18"/>
              </w:rPr>
            </w:pPr>
            <w:r>
              <w:rPr>
                <w:rFonts w:eastAsia="仿宋GB_2312"/>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文档数据库服务</w:t>
            </w:r>
          </w:p>
        </w:tc>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Document Database Service</w:t>
            </w:r>
          </w:p>
        </w:tc>
        <w:tc>
          <w:tcPr>
            <w:tcW w:w="219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DDS</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鲲鹏版：3.4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云数据库 MySQL</w:t>
            </w:r>
          </w:p>
        </w:tc>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RDS for MySQL</w:t>
            </w:r>
          </w:p>
        </w:tc>
        <w:tc>
          <w:tcPr>
            <w:tcW w:w="219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MySQL</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鲲鹏版：5.7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云数据库 PostgreSQL</w:t>
            </w:r>
          </w:p>
        </w:tc>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RDS for PostgreSQL</w:t>
            </w:r>
          </w:p>
        </w:tc>
        <w:tc>
          <w:tcPr>
            <w:tcW w:w="219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PostgreSQL</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鲲鹏版：11，增强版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云数据库 GaussDB(for MySQL)</w:t>
            </w:r>
          </w:p>
        </w:tc>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GaussDB(for MySQL)</w:t>
            </w:r>
          </w:p>
        </w:tc>
        <w:tc>
          <w:tcPr>
            <w:tcW w:w="219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GaussDB(for MySQL)</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兼容MySQL8.0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分布式数据库中间件 DDM</w:t>
            </w:r>
          </w:p>
        </w:tc>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Distributed Database Middleware</w:t>
            </w:r>
          </w:p>
        </w:tc>
        <w:tc>
          <w:tcPr>
            <w:tcW w:w="219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DDM</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分布式缓存服务</w:t>
            </w:r>
          </w:p>
        </w:tc>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Redis</w:t>
            </w:r>
          </w:p>
        </w:tc>
        <w:tc>
          <w:tcPr>
            <w:tcW w:w="219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Redis</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分布式消息队列</w:t>
            </w:r>
          </w:p>
        </w:tc>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RabbitMQ</w:t>
            </w:r>
          </w:p>
        </w:tc>
        <w:tc>
          <w:tcPr>
            <w:tcW w:w="219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RabbitMQ</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分布式消息服务</w:t>
            </w:r>
          </w:p>
        </w:tc>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Kafka</w:t>
            </w:r>
          </w:p>
        </w:tc>
        <w:tc>
          <w:tcPr>
            <w:tcW w:w="219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Kafka</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应用管理与运维平台</w:t>
            </w:r>
          </w:p>
        </w:tc>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ServiceStage</w:t>
            </w:r>
          </w:p>
        </w:tc>
        <w:tc>
          <w:tcPr>
            <w:tcW w:w="219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ServiceStage</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p>
        </w:tc>
      </w:tr>
    </w:tbl>
    <w:p>
      <w:pPr>
        <w:pStyle w:val="3"/>
        <w:keepNext w:val="0"/>
        <w:widowControl/>
        <w:rPr>
          <w:rFonts w:ascii="Times New Roman" w:hAnsi="Times New Roman" w:eastAsia="方正黑体_GBK"/>
          <w:b w:val="0"/>
          <w:bCs/>
        </w:rPr>
      </w:pPr>
      <w:r>
        <w:rPr>
          <w:rFonts w:ascii="Times New Roman" w:hAnsi="Times New Roman" w:eastAsia="方正黑体_GBK"/>
          <w:b w:val="0"/>
          <w:bCs/>
        </w:rPr>
        <w:t>3.5 安全服务</w:t>
      </w:r>
    </w:p>
    <w:tbl>
      <w:tblPr>
        <w:tblStyle w:val="6"/>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2647"/>
        <w:gridCol w:w="1854"/>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eastAsia="仿宋GB_2312"/>
                <w:sz w:val="18"/>
                <w:szCs w:val="18"/>
              </w:rPr>
            </w:pPr>
            <w:r>
              <w:rPr>
                <w:rFonts w:eastAsia="仿宋GB_2312"/>
                <w:b/>
                <w:bCs/>
                <w:sz w:val="18"/>
                <w:szCs w:val="18"/>
              </w:rPr>
              <w:t>中文名称</w:t>
            </w:r>
          </w:p>
        </w:tc>
        <w:tc>
          <w:tcPr>
            <w:tcW w:w="2647"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eastAsia="仿宋GB_2312"/>
                <w:sz w:val="18"/>
                <w:szCs w:val="18"/>
              </w:rPr>
            </w:pPr>
            <w:r>
              <w:rPr>
                <w:rFonts w:eastAsia="仿宋GB_2312"/>
                <w:b/>
                <w:bCs/>
                <w:sz w:val="18"/>
                <w:szCs w:val="18"/>
              </w:rPr>
              <w:t>英文名称</w:t>
            </w:r>
          </w:p>
        </w:tc>
        <w:tc>
          <w:tcPr>
            <w:tcW w:w="1854"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eastAsia="仿宋GB_2312"/>
                <w:sz w:val="18"/>
                <w:szCs w:val="18"/>
              </w:rPr>
            </w:pPr>
            <w:r>
              <w:rPr>
                <w:rFonts w:eastAsia="仿宋GB_2312"/>
                <w:b/>
                <w:bCs/>
                <w:sz w:val="18"/>
                <w:szCs w:val="18"/>
              </w:rPr>
              <w:t>英文简称</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eastAsia="仿宋GB_2312"/>
                <w:sz w:val="18"/>
                <w:szCs w:val="18"/>
              </w:rPr>
            </w:pPr>
            <w:r>
              <w:rPr>
                <w:rFonts w:eastAsia="仿宋GB_2312"/>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企业主机安全</w:t>
            </w:r>
          </w:p>
        </w:tc>
        <w:tc>
          <w:tcPr>
            <w:tcW w:w="2647"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Host Security Service</w:t>
            </w:r>
          </w:p>
        </w:tc>
        <w:tc>
          <w:tcPr>
            <w:tcW w:w="1854"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HSS</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容器安全服务</w:t>
            </w:r>
          </w:p>
        </w:tc>
        <w:tc>
          <w:tcPr>
            <w:tcW w:w="2647"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Container Guard Service</w:t>
            </w:r>
          </w:p>
        </w:tc>
        <w:tc>
          <w:tcPr>
            <w:tcW w:w="1854"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CGS</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云堡垒机</w:t>
            </w:r>
          </w:p>
        </w:tc>
        <w:tc>
          <w:tcPr>
            <w:tcW w:w="2647"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Cloud Bastion Host</w:t>
            </w:r>
          </w:p>
        </w:tc>
        <w:tc>
          <w:tcPr>
            <w:tcW w:w="1854"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CBH</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态势感知</w:t>
            </w:r>
          </w:p>
        </w:tc>
        <w:tc>
          <w:tcPr>
            <w:tcW w:w="2647"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Situation Awareness</w:t>
            </w:r>
          </w:p>
        </w:tc>
        <w:tc>
          <w:tcPr>
            <w:tcW w:w="1854"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SA</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Web应用防火墙</w:t>
            </w:r>
          </w:p>
        </w:tc>
        <w:tc>
          <w:tcPr>
            <w:tcW w:w="2647"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Web Application Firewall</w:t>
            </w:r>
          </w:p>
        </w:tc>
        <w:tc>
          <w:tcPr>
            <w:tcW w:w="1854"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WAF</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漏洞扫描服务</w:t>
            </w:r>
          </w:p>
        </w:tc>
        <w:tc>
          <w:tcPr>
            <w:tcW w:w="2647"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Vulnerability Scan Service</w:t>
            </w:r>
          </w:p>
        </w:tc>
        <w:tc>
          <w:tcPr>
            <w:tcW w:w="1854"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VSS</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数据库安全服务</w:t>
            </w:r>
          </w:p>
        </w:tc>
        <w:tc>
          <w:tcPr>
            <w:tcW w:w="2647"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Database Security Service</w:t>
            </w:r>
          </w:p>
        </w:tc>
        <w:tc>
          <w:tcPr>
            <w:tcW w:w="1854"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r>
              <w:rPr>
                <w:rFonts w:eastAsia="仿宋GB_2312"/>
                <w:sz w:val="18"/>
                <w:szCs w:val="18"/>
              </w:rPr>
              <w:t>DBSS</w:t>
            </w:r>
          </w:p>
        </w:tc>
        <w:tc>
          <w:tcPr>
            <w:tcW w:w="2048"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rPr>
                <w:rFonts w:eastAsia="仿宋GB_2312"/>
                <w:sz w:val="18"/>
                <w:szCs w:val="18"/>
              </w:rPr>
            </w:pPr>
          </w:p>
        </w:tc>
      </w:tr>
    </w:tbl>
    <w:p>
      <w:pPr>
        <w:pStyle w:val="3"/>
        <w:keepNext w:val="0"/>
        <w:widowControl/>
        <w:rPr>
          <w:rFonts w:ascii="Times New Roman" w:hAnsi="Times New Roman" w:eastAsia="方正黑体_GBK"/>
          <w:b w:val="0"/>
          <w:bCs/>
        </w:rPr>
      </w:pPr>
      <w:r>
        <w:rPr>
          <w:rFonts w:ascii="Times New Roman" w:hAnsi="Times New Roman" w:eastAsia="方正黑体_GBK"/>
          <w:b w:val="0"/>
          <w:bCs/>
        </w:rPr>
        <w:t>3.6 EI企业智能</w:t>
      </w:r>
    </w:p>
    <w:tbl>
      <w:tblPr>
        <w:tblStyle w:val="6"/>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2921"/>
        <w:gridCol w:w="1701"/>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eastAsia="仿宋GB_2312"/>
                <w:sz w:val="18"/>
                <w:szCs w:val="18"/>
              </w:rPr>
            </w:pPr>
            <w:r>
              <w:rPr>
                <w:rFonts w:eastAsia="仿宋GB_2312"/>
                <w:b/>
                <w:bCs/>
                <w:sz w:val="18"/>
                <w:szCs w:val="18"/>
              </w:rPr>
              <w:t>中文名称</w:t>
            </w:r>
          </w:p>
        </w:tc>
        <w:tc>
          <w:tcPr>
            <w:tcW w:w="292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eastAsia="仿宋GB_2312"/>
                <w:sz w:val="18"/>
                <w:szCs w:val="18"/>
              </w:rPr>
            </w:pPr>
            <w:r>
              <w:rPr>
                <w:rFonts w:eastAsia="仿宋GB_2312"/>
                <w:b/>
                <w:bCs/>
                <w:sz w:val="18"/>
                <w:szCs w:val="18"/>
              </w:rPr>
              <w:t>英文名称</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eastAsia="仿宋GB_2312"/>
                <w:sz w:val="18"/>
                <w:szCs w:val="18"/>
              </w:rPr>
            </w:pPr>
            <w:r>
              <w:rPr>
                <w:rFonts w:eastAsia="仿宋GB_2312"/>
                <w:b/>
                <w:bCs/>
                <w:sz w:val="18"/>
                <w:szCs w:val="18"/>
              </w:rPr>
              <w:t>英文简称</w:t>
            </w:r>
          </w:p>
        </w:tc>
        <w:tc>
          <w:tcPr>
            <w:tcW w:w="1842"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pacing w:line="360" w:lineRule="auto"/>
              <w:jc w:val="center"/>
              <w:rPr>
                <w:rFonts w:eastAsia="仿宋GB_2312"/>
                <w:sz w:val="18"/>
                <w:szCs w:val="18"/>
              </w:rPr>
            </w:pPr>
            <w:r>
              <w:rPr>
                <w:rFonts w:eastAsia="仿宋GB_2312"/>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MapReduce服务</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MapReduce Service</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MRS</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云搜索服务</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Cloud Search Service</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CSS</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数据仓库服务</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Data Warehouse Service</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DWS</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智能数据湖运营平台</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DAYU</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DAYU</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数据接入服务</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Data Integration Service</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DIS</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数据湖探索</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Data Lake Insight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DLI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云数据迁移</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Cloud Data Migration</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CDM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数据可视化</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Data Lake Visualization</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DLV</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ModelArts服务</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ModelArts</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MA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人脸识别服务</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Face Recognition</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FRS</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图像识别</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Image Recognition</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语音交互服务</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Speech Interaction Service</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SIS</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自然语言处理</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Natural Language Processing</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NLP</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文字识别</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Optical Character Recognition</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r>
              <w:rPr>
                <w:rFonts w:eastAsia="仿宋GB_2312"/>
                <w:sz w:val="18"/>
                <w:szCs w:val="18"/>
              </w:rPr>
              <w:t>OCR</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eastAsia="仿宋GB_2312"/>
                <w:sz w:val="18"/>
                <w:szCs w:val="18"/>
              </w:rPr>
            </w:pPr>
          </w:p>
        </w:tc>
      </w:tr>
    </w:tbl>
    <w:p>
      <w:pPr>
        <w:rPr>
          <w:rFonts w:eastAsia="微软雅黑"/>
          <w:bCs/>
          <w:sz w:val="18"/>
          <w:szCs w:val="18"/>
        </w:rPr>
      </w:pPr>
    </w:p>
    <w:p>
      <w:pPr>
        <w:pStyle w:val="3"/>
        <w:keepNext w:val="0"/>
        <w:widowControl/>
        <w:rPr>
          <w:rFonts w:ascii="Times New Roman" w:hAnsi="Times New Roman" w:eastAsia="方正黑体_GBK"/>
          <w:b w:val="0"/>
          <w:bCs/>
        </w:rPr>
      </w:pPr>
      <w:r>
        <w:rPr>
          <w:rFonts w:ascii="Times New Roman" w:hAnsi="Times New Roman" w:eastAsia="方正黑体_GBK"/>
          <w:b w:val="0"/>
          <w:bCs/>
        </w:rPr>
        <w:t>4鲲鹏人才培养专家服务</w:t>
      </w:r>
    </w:p>
    <w:tbl>
      <w:tblPr>
        <w:tblStyle w:val="6"/>
        <w:tblW w:w="495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389"/>
        <w:gridCol w:w="4358"/>
        <w:gridCol w:w="729"/>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序号</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服务产品名称</w:t>
            </w:r>
          </w:p>
        </w:tc>
        <w:tc>
          <w:tcPr>
            <w:tcW w:w="44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产品规格</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单位</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b/>
                <w:sz w:val="18"/>
                <w:szCs w:val="18"/>
              </w:rPr>
            </w:pPr>
            <w:r>
              <w:rPr>
                <w:rFonts w:eastAsia="仿宋GB_2312"/>
                <w:b/>
                <w:sz w:val="18"/>
                <w:szCs w:val="18"/>
              </w:rPr>
              <w:t>单价(RMB/年)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1</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鲲鹏人才培养方案设计</w:t>
            </w:r>
          </w:p>
        </w:tc>
        <w:tc>
          <w:tcPr>
            <w:tcW w:w="44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为客户提供基于华为云鲲鹏云服务的人才培养方案设计与规划。依托于产业及行业人才研究报告、数据报告、市场调研等方面的信息，提供基于华为云鲲鹏云服务的人才培养解决方案（教学平台设计，鲲鹏课程体系设计）。</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次</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504,000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2</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院校专业建设</w:t>
            </w:r>
          </w:p>
        </w:tc>
        <w:tc>
          <w:tcPr>
            <w:tcW w:w="44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提供鲲鹏体系课程的讲师培训服务。</w:t>
            </w:r>
          </w:p>
          <w:p>
            <w:pPr>
              <w:widowControl/>
              <w:rPr>
                <w:rFonts w:eastAsia="仿宋GB_2312"/>
                <w:sz w:val="18"/>
                <w:szCs w:val="18"/>
              </w:rPr>
            </w:pPr>
            <w:r>
              <w:rPr>
                <w:rFonts w:eastAsia="仿宋GB_2312"/>
                <w:sz w:val="18"/>
                <w:szCs w:val="18"/>
              </w:rPr>
              <w:t>培训内容：鲲鹏核心基础课程，任选一个方向：</w:t>
            </w:r>
          </w:p>
          <w:p>
            <w:pPr>
              <w:widowControl/>
              <w:ind w:left="420" w:leftChars="200"/>
              <w:rPr>
                <w:rFonts w:eastAsia="仿宋GB_2312"/>
                <w:sz w:val="18"/>
                <w:szCs w:val="18"/>
              </w:rPr>
            </w:pPr>
            <w:r>
              <w:rPr>
                <w:rFonts w:eastAsia="仿宋GB_2312"/>
                <w:sz w:val="18"/>
                <w:szCs w:val="18"/>
              </w:rPr>
              <w:t>1.鲲鹏云服务基础方向，</w:t>
            </w:r>
          </w:p>
          <w:p>
            <w:pPr>
              <w:widowControl/>
              <w:ind w:left="420" w:leftChars="200"/>
              <w:rPr>
                <w:rFonts w:eastAsia="仿宋GB_2312"/>
                <w:sz w:val="18"/>
                <w:szCs w:val="18"/>
              </w:rPr>
            </w:pPr>
            <w:r>
              <w:rPr>
                <w:rFonts w:eastAsia="仿宋GB_2312"/>
                <w:sz w:val="18"/>
                <w:szCs w:val="18"/>
              </w:rPr>
              <w:t>2.鲲鹏迁移和灾备方向，</w:t>
            </w:r>
          </w:p>
          <w:p>
            <w:pPr>
              <w:widowControl/>
              <w:ind w:left="420" w:leftChars="200"/>
              <w:rPr>
                <w:rFonts w:eastAsia="仿宋GB_2312"/>
                <w:sz w:val="18"/>
                <w:szCs w:val="18"/>
              </w:rPr>
            </w:pPr>
            <w:r>
              <w:rPr>
                <w:rFonts w:eastAsia="仿宋GB_2312"/>
                <w:sz w:val="18"/>
                <w:szCs w:val="18"/>
              </w:rPr>
              <w:t>3.鲲鹏大数据应用基础方向，</w:t>
            </w:r>
          </w:p>
          <w:p>
            <w:pPr>
              <w:widowControl/>
              <w:ind w:left="420" w:leftChars="200"/>
              <w:rPr>
                <w:rFonts w:eastAsia="仿宋GB_2312"/>
                <w:sz w:val="18"/>
                <w:szCs w:val="18"/>
              </w:rPr>
            </w:pPr>
            <w:r>
              <w:rPr>
                <w:rFonts w:eastAsia="仿宋GB_2312"/>
                <w:sz w:val="18"/>
                <w:szCs w:val="18"/>
              </w:rPr>
              <w:t>4.鲲鹏应用开发与移植方向，</w:t>
            </w:r>
          </w:p>
          <w:p>
            <w:pPr>
              <w:widowControl/>
              <w:ind w:left="420" w:leftChars="200"/>
              <w:rPr>
                <w:rFonts w:eastAsia="仿宋GB_2312"/>
                <w:sz w:val="18"/>
                <w:szCs w:val="18"/>
              </w:rPr>
            </w:pPr>
            <w:r>
              <w:rPr>
                <w:rFonts w:eastAsia="仿宋GB_2312"/>
                <w:sz w:val="18"/>
                <w:szCs w:val="18"/>
              </w:rPr>
              <w:t>5.鲲鹏系统运维方向 等。</w:t>
            </w:r>
          </w:p>
          <w:p>
            <w:pPr>
              <w:widowControl/>
              <w:rPr>
                <w:rFonts w:eastAsia="仿宋GB_2312"/>
                <w:sz w:val="18"/>
                <w:szCs w:val="18"/>
              </w:rPr>
            </w:pPr>
            <w:r>
              <w:rPr>
                <w:rFonts w:eastAsia="仿宋GB_2312"/>
                <w:sz w:val="18"/>
                <w:szCs w:val="18"/>
              </w:rPr>
              <w:t xml:space="preserve">每个方向里面有配套的理论和实训课程，100课时左右，并提供专业讲师授课。 </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次</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470,400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3</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鲲鹏师资培养</w:t>
            </w:r>
          </w:p>
        </w:tc>
        <w:tc>
          <w:tcPr>
            <w:tcW w:w="44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面向高校老师提供为期2天的面授培训服务以及配套的理论和实训，每班不超过30人。任选以下1个课程方向</w:t>
            </w:r>
          </w:p>
          <w:p>
            <w:pPr>
              <w:pStyle w:val="5"/>
              <w:ind w:firstLine="360"/>
              <w:rPr>
                <w:rFonts w:eastAsia="仿宋GB_2312"/>
                <w:sz w:val="18"/>
                <w:szCs w:val="18"/>
              </w:rPr>
            </w:pPr>
            <w:r>
              <w:rPr>
                <w:rFonts w:eastAsia="仿宋GB_2312"/>
                <w:sz w:val="18"/>
                <w:szCs w:val="18"/>
              </w:rPr>
              <w:t>1. 《鲲鹏计算理论与实践课程》包含计算机组成原理（鲲鹏处理器），汇编与接口技术（鲲鹏ARM汇编）、和高性能与并行计算（鲲鹏平台）等内容</w:t>
            </w:r>
          </w:p>
          <w:p>
            <w:pPr>
              <w:pStyle w:val="5"/>
              <w:ind w:firstLine="360"/>
              <w:rPr>
                <w:rFonts w:eastAsia="仿宋GB_2312"/>
                <w:sz w:val="18"/>
                <w:szCs w:val="18"/>
              </w:rPr>
            </w:pPr>
            <w:r>
              <w:rPr>
                <w:rFonts w:eastAsia="仿宋GB_2312"/>
                <w:sz w:val="21"/>
                <w:szCs w:val="21"/>
              </w:rPr>
              <w:t>2.</w:t>
            </w:r>
            <w:r>
              <w:rPr>
                <w:rFonts w:eastAsia="仿宋GB_2312"/>
                <w:sz w:val="18"/>
                <w:szCs w:val="18"/>
              </w:rPr>
              <w:t xml:space="preserve"> 《openEuler操作系统理论与实践课程》</w:t>
            </w:r>
          </w:p>
          <w:p>
            <w:pPr>
              <w:pStyle w:val="5"/>
              <w:ind w:firstLine="360"/>
              <w:rPr>
                <w:rFonts w:eastAsia="仿宋GB_2312"/>
                <w:sz w:val="18"/>
                <w:szCs w:val="18"/>
              </w:rPr>
            </w:pPr>
            <w:r>
              <w:rPr>
                <w:rFonts w:eastAsia="仿宋GB_2312"/>
                <w:sz w:val="21"/>
                <w:szCs w:val="21"/>
              </w:rPr>
              <w:t>3.</w:t>
            </w:r>
            <w:r>
              <w:rPr>
                <w:rFonts w:eastAsia="仿宋GB_2312"/>
                <w:sz w:val="18"/>
                <w:szCs w:val="18"/>
              </w:rPr>
              <w:t xml:space="preserve"> 《openGauss&amp; Gauss DB数据库理论与实践》</w:t>
            </w:r>
          </w:p>
          <w:p>
            <w:pPr>
              <w:pStyle w:val="5"/>
              <w:ind w:firstLine="360"/>
              <w:rPr>
                <w:rFonts w:eastAsia="仿宋GB_2312"/>
                <w:sz w:val="21"/>
                <w:szCs w:val="21"/>
              </w:rPr>
            </w:pPr>
            <w:r>
              <w:rPr>
                <w:rFonts w:eastAsia="仿宋GB_2312"/>
                <w:sz w:val="21"/>
                <w:szCs w:val="21"/>
              </w:rPr>
              <w:t>4.《</w:t>
            </w:r>
            <w:r>
              <w:rPr>
                <w:rFonts w:eastAsia="仿宋GB_2312"/>
                <w:sz w:val="18"/>
                <w:szCs w:val="18"/>
              </w:rPr>
              <w:t>鲲鹏应用数据分析与管理</w:t>
            </w:r>
            <w:r>
              <w:rPr>
                <w:rFonts w:eastAsia="仿宋GB_2312"/>
                <w:sz w:val="21"/>
                <w:szCs w:val="21"/>
              </w:rPr>
              <w:t>》</w:t>
            </w:r>
          </w:p>
          <w:p>
            <w:pPr>
              <w:pStyle w:val="5"/>
              <w:ind w:firstLine="360"/>
              <w:rPr>
                <w:rFonts w:eastAsia="仿宋GB_2312"/>
                <w:sz w:val="18"/>
                <w:szCs w:val="18"/>
              </w:rPr>
            </w:pPr>
            <w:r>
              <w:rPr>
                <w:rFonts w:eastAsia="仿宋GB_2312"/>
                <w:sz w:val="21"/>
                <w:szCs w:val="21"/>
              </w:rPr>
              <w:t>5.</w:t>
            </w:r>
            <w:r>
              <w:rPr>
                <w:rFonts w:eastAsia="仿宋GB_2312"/>
                <w:sz w:val="18"/>
                <w:szCs w:val="18"/>
              </w:rPr>
              <w:t>《openEuler开源创新实践课》</w:t>
            </w:r>
          </w:p>
          <w:p>
            <w:pPr>
              <w:pStyle w:val="5"/>
              <w:ind w:firstLine="360"/>
              <w:rPr>
                <w:rFonts w:eastAsia="仿宋GB_2312"/>
                <w:sz w:val="18"/>
                <w:szCs w:val="18"/>
              </w:rPr>
            </w:pPr>
            <w:r>
              <w:rPr>
                <w:rFonts w:eastAsia="仿宋GB_2312"/>
                <w:sz w:val="18"/>
                <w:szCs w:val="18"/>
              </w:rPr>
              <w:t>6.《openGauss开源创新实践课》</w:t>
            </w:r>
          </w:p>
          <w:p>
            <w:pPr>
              <w:pStyle w:val="5"/>
              <w:ind w:firstLine="360"/>
              <w:rPr>
                <w:rFonts w:eastAsia="仿宋GB_2312"/>
                <w:sz w:val="18"/>
                <w:szCs w:val="18"/>
              </w:rPr>
            </w:pPr>
            <w:r>
              <w:rPr>
                <w:rFonts w:eastAsia="仿宋GB_2312"/>
                <w:sz w:val="21"/>
                <w:szCs w:val="21"/>
              </w:rPr>
              <w:t>7.《</w:t>
            </w:r>
            <w:r>
              <w:rPr>
                <w:rFonts w:eastAsia="仿宋GB_2312"/>
                <w:sz w:val="18"/>
                <w:szCs w:val="18"/>
              </w:rPr>
              <w:t>鲲鹏云移动应用开发</w:t>
            </w:r>
            <w:r>
              <w:rPr>
                <w:rFonts w:eastAsia="仿宋GB_2312"/>
                <w:sz w:val="21"/>
                <w:szCs w:val="21"/>
              </w:rPr>
              <w:t>》</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每班</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115,584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4</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鲲鹏高校精英创新实践课（学生版）</w:t>
            </w:r>
          </w:p>
        </w:tc>
        <w:tc>
          <w:tcPr>
            <w:tcW w:w="44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kern w:val="0"/>
                <w:sz w:val="18"/>
                <w:szCs w:val="18"/>
              </w:rPr>
              <w:t>面向高校学生提供鲲鹏计算体系课程培训实践课，</w:t>
            </w:r>
            <w:r>
              <w:rPr>
                <w:rFonts w:eastAsia="仿宋GB_2312"/>
                <w:sz w:val="18"/>
                <w:szCs w:val="18"/>
              </w:rPr>
              <w:t>为期2天的面授培训，每班不超过50人。</w:t>
            </w:r>
            <w:r>
              <w:rPr>
                <w:rFonts w:eastAsia="仿宋GB_2312"/>
                <w:kern w:val="0"/>
                <w:sz w:val="18"/>
                <w:szCs w:val="18"/>
              </w:rPr>
              <w:t>实践课主题会根据鲲鹏计算产业发展进行不定期迭代更新，</w:t>
            </w:r>
            <w:r>
              <w:rPr>
                <w:rFonts w:eastAsia="仿宋GB_2312"/>
                <w:sz w:val="18"/>
                <w:szCs w:val="18"/>
              </w:rPr>
              <w:t>任选以下1个课程方向</w:t>
            </w:r>
          </w:p>
          <w:p>
            <w:pPr>
              <w:pStyle w:val="5"/>
              <w:ind w:firstLine="360"/>
              <w:rPr>
                <w:rFonts w:eastAsia="仿宋GB_2312"/>
                <w:sz w:val="21"/>
                <w:szCs w:val="21"/>
              </w:rPr>
            </w:pPr>
            <w:r>
              <w:rPr>
                <w:rFonts w:eastAsia="仿宋GB_2312"/>
                <w:sz w:val="21"/>
                <w:szCs w:val="21"/>
              </w:rPr>
              <w:t>1.《</w:t>
            </w:r>
            <w:r>
              <w:rPr>
                <w:rFonts w:eastAsia="仿宋GB_2312"/>
                <w:sz w:val="18"/>
                <w:szCs w:val="18"/>
              </w:rPr>
              <w:t>鲲鹏应用数据分析与管理</w:t>
            </w:r>
            <w:r>
              <w:rPr>
                <w:rFonts w:eastAsia="仿宋GB_2312"/>
                <w:sz w:val="21"/>
                <w:szCs w:val="21"/>
              </w:rPr>
              <w:t>》</w:t>
            </w:r>
          </w:p>
          <w:p>
            <w:pPr>
              <w:pStyle w:val="5"/>
              <w:ind w:firstLine="360"/>
              <w:rPr>
                <w:rFonts w:eastAsia="仿宋GB_2312"/>
                <w:sz w:val="18"/>
                <w:szCs w:val="18"/>
              </w:rPr>
            </w:pPr>
            <w:r>
              <w:rPr>
                <w:rFonts w:eastAsia="仿宋GB_2312"/>
                <w:sz w:val="21"/>
                <w:szCs w:val="21"/>
              </w:rPr>
              <w:t>2.</w:t>
            </w:r>
            <w:r>
              <w:rPr>
                <w:rFonts w:eastAsia="仿宋GB_2312"/>
                <w:sz w:val="18"/>
                <w:szCs w:val="18"/>
              </w:rPr>
              <w:t>《openEuler开源创新实践课》</w:t>
            </w:r>
          </w:p>
          <w:p>
            <w:pPr>
              <w:pStyle w:val="5"/>
              <w:ind w:firstLine="360"/>
              <w:rPr>
                <w:rFonts w:eastAsia="仿宋GB_2312"/>
                <w:sz w:val="18"/>
                <w:szCs w:val="18"/>
              </w:rPr>
            </w:pPr>
            <w:r>
              <w:rPr>
                <w:rFonts w:eastAsia="仿宋GB_2312"/>
                <w:sz w:val="18"/>
                <w:szCs w:val="18"/>
              </w:rPr>
              <w:t>3.《openGauss开源创新实践课》</w:t>
            </w:r>
          </w:p>
          <w:p>
            <w:pPr>
              <w:pStyle w:val="5"/>
              <w:ind w:firstLine="360"/>
              <w:rPr>
                <w:rFonts w:eastAsia="仿宋GB_2312"/>
                <w:sz w:val="18"/>
                <w:szCs w:val="18"/>
              </w:rPr>
            </w:pPr>
            <w:r>
              <w:rPr>
                <w:rFonts w:eastAsia="仿宋GB_2312"/>
                <w:sz w:val="18"/>
                <w:szCs w:val="18"/>
              </w:rPr>
              <w:t>4.《openGauss开源创新实践课》</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每班</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57,792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5</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院校专业建设-中级讲师服务</w:t>
            </w:r>
          </w:p>
        </w:tc>
        <w:tc>
          <w:tcPr>
            <w:tcW w:w="44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华为认证中级讲师为高校/企业提供鲲鹏课程体系授课服务或者定制课程服务，按人天进行收费。</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人天</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13,440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6</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鲲鹏高校课程开发支持服务</w:t>
            </w:r>
          </w:p>
        </w:tc>
        <w:tc>
          <w:tcPr>
            <w:tcW w:w="44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鲲鹏高校课程开发支持是华为面向高校老师推出的教学课件、实验手册等开发支持服务，以支撑老师在教材教辅开发过程中融入鲲鹏技术路线知识，不断改进课程内容质量，提升鲲鹏技术路线相关技能。</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每课程</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7</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院校专业建设-高级讲师服务</w:t>
            </w:r>
          </w:p>
        </w:tc>
        <w:tc>
          <w:tcPr>
            <w:tcW w:w="44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华为认证高级讲师为高校/企业提供鲲鹏课程体系授课服务或者定制课程服务，按人天进行收费。</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人天</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33,600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8</w:t>
            </w:r>
          </w:p>
        </w:tc>
        <w:tc>
          <w:tcPr>
            <w:tcW w:w="1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鲲鹏竞赛</w:t>
            </w:r>
          </w:p>
        </w:tc>
        <w:tc>
          <w:tcPr>
            <w:tcW w:w="44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GB_2312"/>
                <w:sz w:val="18"/>
                <w:szCs w:val="18"/>
              </w:rPr>
            </w:pPr>
            <w:r>
              <w:rPr>
                <w:rFonts w:eastAsia="仿宋GB_2312"/>
                <w:sz w:val="18"/>
                <w:szCs w:val="18"/>
              </w:rPr>
              <w:t>基于华为云鲲鹏云服务、解决方案和生态体系，提供应用竞赛设计、竞赛赛题、评分标准和专家评委服务（50人以内/ 1赛道）。</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次</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GB_2312"/>
                <w:sz w:val="18"/>
                <w:szCs w:val="18"/>
              </w:rPr>
            </w:pPr>
            <w:r>
              <w:rPr>
                <w:rFonts w:eastAsia="仿宋GB_2312"/>
                <w:sz w:val="18"/>
                <w:szCs w:val="18"/>
              </w:rPr>
              <w:t>504,000</w:t>
            </w:r>
          </w:p>
        </w:tc>
      </w:tr>
    </w:tbl>
    <w:p>
      <w:pPr>
        <w:rPr>
          <w:rFonts w:eastAsia="黑体"/>
          <w:sz w:val="32"/>
          <w:szCs w:val="32"/>
          <w:lang w:eastAsia="zh-TW"/>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GB_2312">
    <w:altName w:val="宋体"/>
    <w:panose1 w:val="00000000000000000000"/>
    <w:charset w:val="86"/>
    <w:family w:val="roman"/>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817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before="240" w:after="240"/>
      <w:outlineLvl w:val="0"/>
    </w:pPr>
    <w:rPr>
      <w:rFonts w:ascii="Arial" w:hAnsi="Arial" w:eastAsia="黑体"/>
      <w:b/>
      <w:sz w:val="32"/>
      <w:szCs w:val="32"/>
    </w:rPr>
  </w:style>
  <w:style w:type="paragraph" w:styleId="4">
    <w:name w:val="heading 2"/>
    <w:next w:val="1"/>
    <w:qFormat/>
    <w:uiPriority w:val="0"/>
    <w:pPr>
      <w:keepNext/>
      <w:spacing w:before="240" w:after="240"/>
      <w:jc w:val="both"/>
      <w:outlineLvl w:val="1"/>
    </w:pPr>
    <w:rPr>
      <w:rFonts w:ascii="Arial" w:hAnsi="Arial" w:eastAsia="黑体" w:cs="Times New Roman"/>
      <w:sz w:val="28"/>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semiHidden/>
    <w:unhideWhenUsed/>
    <w:qFormat/>
    <w:uiPriority w:val="0"/>
    <w:pPr>
      <w:ind w:firstLine="420" w:firstLineChars="200"/>
    </w:pPr>
    <w:rPr>
      <w:szCs w:val="21"/>
    </w:rPr>
  </w:style>
  <w:style w:type="paragraph" w:styleId="5">
    <w:name w:val="Normal (Web)"/>
    <w:basedOn w:val="1"/>
    <w:unhideWhenUsed/>
    <w:qFormat/>
    <w:uiPriority w:val="99"/>
    <w:rPr>
      <w:sz w:val="24"/>
    </w:rPr>
  </w:style>
  <w:style w:type="character" w:styleId="8">
    <w:name w:val="Hyperlink"/>
    <w:unhideWhenUsed/>
    <w:qFormat/>
    <w:uiPriority w:val="99"/>
    <w:rPr>
      <w:color w:val="0563C1"/>
      <w:u w:val="single"/>
    </w:rPr>
  </w:style>
  <w:style w:type="paragraph" w:customStyle="1" w:styleId="9">
    <w:name w:val="_Style 57"/>
    <w:basedOn w:val="1"/>
    <w:next w:val="10"/>
    <w:qFormat/>
    <w:uiPriority w:val="34"/>
    <w:pPr>
      <w:ind w:firstLine="420" w:firstLineChars="200"/>
    </w:pPr>
    <w:rPr>
      <w:rFonts w:asciiTheme="minorHAnsi" w:hAnsiTheme="minorHAnsi" w:eastAsiaTheme="minorEastAsia" w:cstheme="minorBidi"/>
    </w:rPr>
  </w:style>
  <w:style w:type="paragraph" w:styleId="10">
    <w:name w:val="List Paragraph"/>
    <w:basedOn w:val="1"/>
    <w:qFormat/>
    <w:uiPriority w:val="34"/>
    <w:pPr>
      <w:ind w:firstLine="420" w:firstLineChars="200"/>
    </w:pPr>
  </w:style>
  <w:style w:type="paragraph" w:customStyle="1" w:styleId="1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2"/>
      <w:sz w:val="32"/>
      <w:szCs w:val="32"/>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2022-03-09T10:25:05Z</dcterms:created>
  <dc:creator>DELL</dc:creator>
  <cp:lastModifiedBy>DELL</cp:lastModifiedBy>
  <dcterms:modified xsi:type="dcterms:W3CDTF">2022-03-09T10:25:49Z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1FBFA11D7E114FCEB980D09AD9116219</vt:lpwstr>
  </property>
</Properties>
</file>